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8564428" w:rsidR="003E19D7" w:rsidRPr="0035645E" w:rsidRDefault="003E19D7" w:rsidP="00E75E65">
      <w:pPr>
        <w:pStyle w:val="3GPPHeader"/>
        <w:spacing w:after="60"/>
        <w:rPr>
          <w:szCs w:val="24"/>
          <w:lang w:val="en-US"/>
        </w:rPr>
      </w:pPr>
      <w:bookmarkStart w:id="0" w:name="_Hlk525882486"/>
      <w:bookmarkEnd w:id="0"/>
      <w:r w:rsidRPr="0035645E">
        <w:rPr>
          <w:szCs w:val="24"/>
          <w:lang w:val="en-US"/>
        </w:rPr>
        <w:t>3GPP TSG-RAN WG</w:t>
      </w:r>
      <w:r w:rsidR="00EA1058" w:rsidRPr="0035645E">
        <w:rPr>
          <w:szCs w:val="24"/>
          <w:lang w:val="en-US"/>
        </w:rPr>
        <w:t>3</w:t>
      </w:r>
      <w:r w:rsidR="00DC0298" w:rsidRPr="0035645E">
        <w:rPr>
          <w:noProof/>
          <w:szCs w:val="24"/>
          <w:lang w:val="en-US"/>
        </w:rPr>
        <w:t xml:space="preserve"> </w:t>
      </w:r>
      <w:r w:rsidR="0051743E" w:rsidRPr="0035645E">
        <w:rPr>
          <w:noProof/>
          <w:szCs w:val="24"/>
          <w:lang w:val="en-US"/>
        </w:rPr>
        <w:t>#10</w:t>
      </w:r>
      <w:r w:rsidR="00573A3D" w:rsidRPr="0035645E">
        <w:rPr>
          <w:noProof/>
          <w:szCs w:val="24"/>
          <w:lang w:val="en-US"/>
        </w:rPr>
        <w:t>5</w:t>
      </w:r>
      <w:r w:rsidR="009F0709">
        <w:rPr>
          <w:noProof/>
          <w:szCs w:val="24"/>
          <w:lang w:val="en-US"/>
        </w:rPr>
        <w:t>bis</w:t>
      </w:r>
      <w:r w:rsidRPr="0035645E">
        <w:rPr>
          <w:szCs w:val="24"/>
          <w:lang w:val="en-US"/>
        </w:rPr>
        <w:tab/>
      </w:r>
      <w:r w:rsidR="00013B63" w:rsidRPr="00013B63">
        <w:rPr>
          <w:szCs w:val="24"/>
          <w:lang w:val="en-US"/>
        </w:rPr>
        <w:t>R3-196013</w:t>
      </w:r>
      <w:bookmarkStart w:id="1" w:name="_GoBack"/>
      <w:bookmarkEnd w:id="1"/>
    </w:p>
    <w:p w14:paraId="6B669E58" w14:textId="5E6ACE6A" w:rsidR="003E19D7" w:rsidRPr="0035645E" w:rsidRDefault="007B4A6E" w:rsidP="00E75E65">
      <w:pPr>
        <w:pStyle w:val="3GPPHeader"/>
        <w:rPr>
          <w:rFonts w:cs="Arial"/>
          <w:lang w:val="en-US"/>
        </w:rPr>
      </w:pPr>
      <w:proofErr w:type="gramStart"/>
      <w:r w:rsidRPr="007B4A6E">
        <w:rPr>
          <w:lang w:val="en-US"/>
        </w:rPr>
        <w:t>Chongqing ,</w:t>
      </w:r>
      <w:proofErr w:type="gramEnd"/>
      <w:r w:rsidRPr="007B4A6E">
        <w:rPr>
          <w:lang w:val="en-US"/>
        </w:rPr>
        <w:t xml:space="preserve"> CN</w:t>
      </w:r>
      <w:r w:rsidR="00023AEB" w:rsidRPr="0035645E">
        <w:rPr>
          <w:lang w:val="en-US"/>
        </w:rPr>
        <w:t xml:space="preserve">, </w:t>
      </w:r>
      <w:r w:rsidR="009F0709">
        <w:rPr>
          <w:lang w:val="en-US"/>
        </w:rPr>
        <w:t>14</w:t>
      </w:r>
      <w:r w:rsidR="0028604A" w:rsidRPr="0035645E">
        <w:rPr>
          <w:vertAlign w:val="superscript"/>
          <w:lang w:val="en-US"/>
        </w:rPr>
        <w:t>th</w:t>
      </w:r>
      <w:r w:rsidR="0028604A" w:rsidRPr="0035645E">
        <w:rPr>
          <w:lang w:val="en-US"/>
        </w:rPr>
        <w:t xml:space="preserve"> </w:t>
      </w:r>
      <w:r w:rsidR="009F0709">
        <w:rPr>
          <w:lang w:val="en-US"/>
        </w:rPr>
        <w:t>October</w:t>
      </w:r>
      <w:r w:rsidR="0028604A" w:rsidRPr="0035645E">
        <w:rPr>
          <w:lang w:val="en-US"/>
        </w:rPr>
        <w:t xml:space="preserve"> – </w:t>
      </w:r>
      <w:r w:rsidR="009F0709">
        <w:rPr>
          <w:lang w:val="en-US"/>
        </w:rPr>
        <w:t>18</w:t>
      </w:r>
      <w:r w:rsidR="0028604A" w:rsidRPr="0035645E">
        <w:rPr>
          <w:vertAlign w:val="superscript"/>
          <w:lang w:val="en-US"/>
        </w:rPr>
        <w:t>th</w:t>
      </w:r>
      <w:r w:rsidR="0028604A" w:rsidRPr="0035645E">
        <w:rPr>
          <w:lang w:val="en-US"/>
        </w:rPr>
        <w:t xml:space="preserve"> </w:t>
      </w:r>
      <w:r w:rsidR="009F0709">
        <w:rPr>
          <w:lang w:val="en-US"/>
        </w:rPr>
        <w:t>October</w:t>
      </w:r>
      <w:r w:rsidR="0028604A" w:rsidRPr="0035645E">
        <w:rPr>
          <w:lang w:val="en-US"/>
        </w:rPr>
        <w:t xml:space="preserve"> 2019</w:t>
      </w:r>
      <w:r w:rsidR="00C22AD5" w:rsidRPr="0035645E">
        <w:rPr>
          <w:lang w:val="en-US"/>
        </w:rPr>
        <w:tab/>
      </w:r>
      <w:r w:rsidR="007E45D8" w:rsidRPr="0035645E">
        <w:rPr>
          <w:lang w:val="en-US"/>
        </w:rPr>
        <w:t xml:space="preserve">                 </w:t>
      </w:r>
      <w:r w:rsidR="00AA7717" w:rsidRPr="0035645E">
        <w:rPr>
          <w:lang w:val="en-US"/>
        </w:rPr>
        <w:t xml:space="preserve">                  </w:t>
      </w:r>
    </w:p>
    <w:p w14:paraId="19F901B0" w14:textId="77777777" w:rsidR="00E90E49" w:rsidRPr="0035645E" w:rsidRDefault="00E90E49" w:rsidP="00E75E65">
      <w:pPr>
        <w:pStyle w:val="3GPPHeader"/>
        <w:rPr>
          <w:lang w:val="en-US"/>
        </w:rPr>
      </w:pPr>
    </w:p>
    <w:p w14:paraId="00C28BFE" w14:textId="74AB554D" w:rsidR="00BA00E8" w:rsidRPr="0035645E" w:rsidRDefault="00BA00E8" w:rsidP="00E75E65">
      <w:pPr>
        <w:pStyle w:val="3GPPHeader"/>
        <w:rPr>
          <w:rFonts w:cs="Arial"/>
          <w:sz w:val="22"/>
          <w:lang w:val="en-US"/>
        </w:rPr>
      </w:pPr>
      <w:r w:rsidRPr="0035645E">
        <w:rPr>
          <w:rFonts w:cs="Arial"/>
          <w:sz w:val="22"/>
          <w:lang w:val="en-US"/>
        </w:rPr>
        <w:t>Agenda Item:</w:t>
      </w:r>
      <w:r w:rsidRPr="0035645E">
        <w:rPr>
          <w:rFonts w:cs="Arial"/>
          <w:sz w:val="22"/>
          <w:lang w:val="en-US"/>
        </w:rPr>
        <w:tab/>
      </w:r>
      <w:r w:rsidR="00DE6217" w:rsidRPr="00D3025E">
        <w:rPr>
          <w:rFonts w:cs="Arial"/>
          <w:sz w:val="22"/>
          <w:lang w:val="en-US"/>
        </w:rPr>
        <w:t>10.2.2</w:t>
      </w:r>
    </w:p>
    <w:p w14:paraId="42813497" w14:textId="5ADB5524" w:rsidR="00BA00E8" w:rsidRPr="0035645E" w:rsidRDefault="00BA00E8" w:rsidP="00E75E65">
      <w:pPr>
        <w:pStyle w:val="3GPPHeader"/>
        <w:rPr>
          <w:rFonts w:cs="Arial"/>
          <w:sz w:val="22"/>
          <w:lang w:val="en-US"/>
        </w:rPr>
      </w:pPr>
      <w:r w:rsidRPr="0035645E">
        <w:rPr>
          <w:rFonts w:cs="Arial"/>
          <w:sz w:val="22"/>
          <w:lang w:val="en-US"/>
        </w:rPr>
        <w:t>Source:</w:t>
      </w:r>
      <w:r w:rsidRPr="0035645E">
        <w:rPr>
          <w:rFonts w:cs="Arial"/>
          <w:sz w:val="22"/>
          <w:lang w:val="en-US"/>
        </w:rPr>
        <w:tab/>
        <w:t>Ericsson</w:t>
      </w:r>
      <w:r w:rsidR="00D3025E">
        <w:rPr>
          <w:rFonts w:cs="Arial"/>
          <w:sz w:val="22"/>
          <w:lang w:val="en-US"/>
        </w:rPr>
        <w:t>, NTT DoCoMo, Inc.</w:t>
      </w:r>
      <w:r w:rsidR="00361547">
        <w:rPr>
          <w:rFonts w:cs="Arial"/>
          <w:sz w:val="22"/>
          <w:lang w:val="en-US"/>
        </w:rPr>
        <w:t xml:space="preserve">, </w:t>
      </w:r>
    </w:p>
    <w:p w14:paraId="71CB49DD" w14:textId="024E0A49" w:rsidR="00BA00E8" w:rsidRPr="0035645E" w:rsidRDefault="00BA00E8" w:rsidP="00E75E65">
      <w:pPr>
        <w:pStyle w:val="3GPPHeader"/>
        <w:rPr>
          <w:rFonts w:cs="Arial"/>
          <w:sz w:val="22"/>
          <w:lang w:val="en-US"/>
        </w:rPr>
      </w:pPr>
      <w:r w:rsidRPr="0035645E">
        <w:rPr>
          <w:rFonts w:cs="Arial"/>
          <w:sz w:val="22"/>
          <w:lang w:val="en-US"/>
        </w:rPr>
        <w:t>Title:</w:t>
      </w:r>
      <w:r w:rsidRPr="0035645E">
        <w:rPr>
          <w:rFonts w:cs="Arial"/>
          <w:sz w:val="22"/>
          <w:lang w:val="en-US"/>
        </w:rPr>
        <w:tab/>
      </w:r>
      <w:r w:rsidR="00A72F63">
        <w:rPr>
          <w:rFonts w:cs="Arial"/>
          <w:sz w:val="22"/>
          <w:lang w:val="en-US"/>
        </w:rPr>
        <w:t>Further discussion on l</w:t>
      </w:r>
      <w:r w:rsidR="0041731D" w:rsidRPr="0035645E">
        <w:rPr>
          <w:rFonts w:cs="Arial"/>
          <w:sz w:val="22"/>
          <w:lang w:val="en-US"/>
        </w:rPr>
        <w:t>imitation</w:t>
      </w:r>
      <w:r w:rsidR="00E14C50">
        <w:rPr>
          <w:rFonts w:cs="Arial"/>
          <w:sz w:val="22"/>
          <w:lang w:val="en-US"/>
        </w:rPr>
        <w:t>s</w:t>
      </w:r>
      <w:r w:rsidR="0041731D" w:rsidRPr="0035645E">
        <w:rPr>
          <w:rFonts w:cs="Arial"/>
          <w:sz w:val="22"/>
          <w:lang w:val="en-US"/>
        </w:rPr>
        <w:t xml:space="preserve"> of cell-level load reporting in load balancing</w:t>
      </w:r>
    </w:p>
    <w:p w14:paraId="1EDD93C1" w14:textId="77777777" w:rsidR="00BA00E8" w:rsidRPr="00506624" w:rsidRDefault="00BA00E8" w:rsidP="00E75E65">
      <w:pPr>
        <w:pStyle w:val="3GPPHeader"/>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52C4E114" w14:textId="77777777" w:rsidR="00594E3A" w:rsidRDefault="00594E3A" w:rsidP="00594E3A">
      <w:pPr>
        <w:jc w:val="both"/>
        <w:rPr>
          <w:lang w:val="en-US" w:eastAsia="en-GB"/>
        </w:rPr>
      </w:pPr>
      <w:r>
        <w:rPr>
          <w:lang w:val="en-US" w:eastAsia="en-GB"/>
        </w:rPr>
        <w:t xml:space="preserve">For load balancing and load sharing in NR, as part of the </w:t>
      </w:r>
      <w:r>
        <w:rPr>
          <w:rFonts w:cs="Calibri"/>
          <w:lang w:val="en-US"/>
        </w:rPr>
        <w:t xml:space="preserve">RAN3#105 Chairman Notes </w:t>
      </w:r>
      <w:r>
        <w:rPr>
          <w:rFonts w:cs="Calibri"/>
          <w:lang w:val="en-US"/>
        </w:rPr>
        <w:fldChar w:fldCharType="begin"/>
      </w:r>
      <w:r>
        <w:rPr>
          <w:rFonts w:cs="Calibri"/>
          <w:lang w:val="en-US"/>
        </w:rPr>
        <w:instrText xml:space="preserve"> REF _Ref19091613 \r \h </w:instrText>
      </w:r>
      <w:r>
        <w:rPr>
          <w:rFonts w:cs="Calibri"/>
          <w:lang w:val="en-US"/>
        </w:rPr>
      </w:r>
      <w:r>
        <w:rPr>
          <w:rFonts w:cs="Calibri"/>
          <w:lang w:val="en-US"/>
        </w:rPr>
        <w:fldChar w:fldCharType="separate"/>
      </w:r>
      <w:r>
        <w:rPr>
          <w:rFonts w:cs="Calibri"/>
          <w:lang w:val="en-US"/>
        </w:rPr>
        <w:t>[1]</w:t>
      </w:r>
      <w:r>
        <w:rPr>
          <w:rFonts w:cs="Calibri"/>
          <w:lang w:val="en-US"/>
        </w:rPr>
        <w:fldChar w:fldCharType="end"/>
      </w:r>
      <w:r>
        <w:rPr>
          <w:rFonts w:cs="Calibri"/>
          <w:lang w:val="en-US"/>
        </w:rPr>
        <w:t>,</w:t>
      </w:r>
      <w:r>
        <w:rPr>
          <w:lang w:val="en-US" w:eastAsia="en-GB"/>
        </w:rPr>
        <w:t xml:space="preserve"> it was </w:t>
      </w:r>
      <w:r w:rsidRPr="0035645E">
        <w:rPr>
          <w:lang w:val="en-US" w:eastAsia="en-GB"/>
        </w:rPr>
        <w:t>concluded t</w:t>
      </w:r>
      <w:r>
        <w:rPr>
          <w:lang w:val="en-US" w:eastAsia="en-GB"/>
        </w:rPr>
        <w:t>o</w:t>
      </w:r>
      <w:r w:rsidRPr="0035645E">
        <w:rPr>
          <w:lang w:val="en-US" w:eastAsia="en-GB"/>
        </w:rPr>
        <w:t xml:space="preserve">: </w:t>
      </w:r>
    </w:p>
    <w:p w14:paraId="65FB90C8" w14:textId="77777777" w:rsidR="00594E3A" w:rsidRPr="00333EA7" w:rsidRDefault="00594E3A" w:rsidP="00594E3A">
      <w:pPr>
        <w:pStyle w:val="ListParagraph"/>
        <w:numPr>
          <w:ilvl w:val="0"/>
          <w:numId w:val="40"/>
        </w:numPr>
        <w:jc w:val="both"/>
        <w:rPr>
          <w:i/>
          <w:lang w:val="en-US" w:eastAsia="en-GB"/>
        </w:rPr>
      </w:pPr>
      <w:r w:rsidRPr="00333EA7">
        <w:rPr>
          <w:rFonts w:cs="Calibri"/>
          <w:i/>
          <w:lang w:val="en-US" w:eastAsia="zh-CN"/>
        </w:rPr>
        <w:t xml:space="preserve">Add RESOURCE STATUS REQUEST/RESPONSE/UPDATE procedures for </w:t>
      </w:r>
      <w:proofErr w:type="spellStart"/>
      <w:r w:rsidRPr="00333EA7">
        <w:rPr>
          <w:rFonts w:cs="Calibri"/>
          <w:i/>
          <w:lang w:val="en-US" w:eastAsia="zh-CN"/>
        </w:rPr>
        <w:t>Xn</w:t>
      </w:r>
      <w:proofErr w:type="spellEnd"/>
      <w:r w:rsidRPr="00333EA7">
        <w:rPr>
          <w:rFonts w:cs="Calibri"/>
          <w:i/>
          <w:lang w:val="en-US" w:eastAsia="zh-CN"/>
        </w:rPr>
        <w:t>, X2 (for EN-DC), F1 and E1 interfaces (IEs for each interface are to be discussed separately)</w:t>
      </w:r>
    </w:p>
    <w:p w14:paraId="7EEE44A9" w14:textId="58F37103" w:rsidR="00594E3A" w:rsidRDefault="00594E3A" w:rsidP="00594E3A">
      <w:pPr>
        <w:jc w:val="both"/>
        <w:rPr>
          <w:rFonts w:cs="Calibri"/>
          <w:lang w:val="en-US"/>
        </w:rPr>
      </w:pPr>
      <w:r>
        <w:rPr>
          <w:rFonts w:cs="Calibri"/>
          <w:lang w:val="en-US"/>
        </w:rPr>
        <w:t xml:space="preserve">Additionally, the type of load information (CAC, resource utilization </w:t>
      </w:r>
      <w:proofErr w:type="spellStart"/>
      <w:r>
        <w:rPr>
          <w:rFonts w:cs="Calibri"/>
          <w:lang w:val="en-US"/>
        </w:rPr>
        <w:t>etc</w:t>
      </w:r>
      <w:proofErr w:type="spellEnd"/>
      <w:r>
        <w:rPr>
          <w:rFonts w:cs="Calibri"/>
          <w:lang w:val="en-US"/>
        </w:rPr>
        <w:t xml:space="preserve">) and the load granularity (only per cell, per SSB beam coverage area, per band, and per network slice) has been also extensively discussed offline. As part of the summary of the discussion on </w:t>
      </w:r>
      <w:r w:rsidRPr="00207B3E">
        <w:rPr>
          <w:rFonts w:cs="Arial"/>
          <w:lang w:val="en-US"/>
        </w:rPr>
        <w:t>per SSB load reporting for load balancing in NG RAN</w:t>
      </w:r>
      <w:r>
        <w:rPr>
          <w:rFonts w:cs="Calibri"/>
          <w:lang w:val="en-US"/>
        </w:rPr>
        <w:t>, reported in</w:t>
      </w:r>
      <w:r w:rsidRPr="006E7C1A">
        <w:rPr>
          <w:rFonts w:cs="Calibri"/>
          <w:lang w:val="en-US"/>
        </w:rPr>
        <w:t xml:space="preserve"> </w:t>
      </w:r>
      <w:r>
        <w:rPr>
          <w:rFonts w:cs="Calibri"/>
          <w:lang w:val="en-US"/>
        </w:rPr>
        <w:fldChar w:fldCharType="begin"/>
      </w:r>
      <w:r>
        <w:rPr>
          <w:rFonts w:cs="Calibri"/>
          <w:lang w:val="en-US"/>
        </w:rPr>
        <w:instrText xml:space="preserve"> REF _Ref19093015 \r \h </w:instrText>
      </w:r>
      <w:r>
        <w:rPr>
          <w:rFonts w:cs="Calibri"/>
          <w:lang w:val="en-US"/>
        </w:rPr>
      </w:r>
      <w:r>
        <w:rPr>
          <w:rFonts w:cs="Calibri"/>
          <w:lang w:val="en-US"/>
        </w:rPr>
        <w:fldChar w:fldCharType="separate"/>
      </w:r>
      <w:r>
        <w:rPr>
          <w:rFonts w:cs="Calibri"/>
          <w:lang w:val="en-US"/>
        </w:rPr>
        <w:t>[2]</w:t>
      </w:r>
      <w:r>
        <w:rPr>
          <w:rFonts w:cs="Calibri"/>
          <w:lang w:val="en-US"/>
        </w:rPr>
        <w:fldChar w:fldCharType="end"/>
      </w:r>
      <w:r>
        <w:rPr>
          <w:rFonts w:cs="Calibri"/>
          <w:lang w:val="en-US"/>
        </w:rPr>
        <w:t xml:space="preserve">, </w:t>
      </w:r>
      <w:r w:rsidR="00D06593">
        <w:rPr>
          <w:rFonts w:cs="Calibri"/>
          <w:lang w:val="en-US"/>
        </w:rPr>
        <w:t xml:space="preserve">it </w:t>
      </w:r>
      <w:r>
        <w:rPr>
          <w:rFonts w:cs="Calibri"/>
          <w:lang w:val="en-US"/>
        </w:rPr>
        <w:t xml:space="preserve">was captured in the RAN3#105 Chairman Notes </w:t>
      </w:r>
      <w:r>
        <w:rPr>
          <w:rFonts w:cs="Calibri"/>
          <w:lang w:val="en-US"/>
        </w:rPr>
        <w:fldChar w:fldCharType="begin"/>
      </w:r>
      <w:r>
        <w:rPr>
          <w:rFonts w:cs="Calibri"/>
          <w:lang w:val="en-US"/>
        </w:rPr>
        <w:instrText xml:space="preserve"> REF _Ref19091613 \r \h </w:instrText>
      </w:r>
      <w:r>
        <w:rPr>
          <w:rFonts w:cs="Calibri"/>
          <w:lang w:val="en-US"/>
        </w:rPr>
      </w:r>
      <w:r>
        <w:rPr>
          <w:rFonts w:cs="Calibri"/>
          <w:lang w:val="en-US"/>
        </w:rPr>
        <w:fldChar w:fldCharType="separate"/>
      </w:r>
      <w:r>
        <w:rPr>
          <w:rFonts w:cs="Calibri"/>
          <w:lang w:val="en-US"/>
        </w:rPr>
        <w:t>[1]</w:t>
      </w:r>
      <w:r>
        <w:rPr>
          <w:rFonts w:cs="Calibri"/>
          <w:lang w:val="en-US"/>
        </w:rPr>
        <w:fldChar w:fldCharType="end"/>
      </w:r>
      <w:r>
        <w:rPr>
          <w:rFonts w:cs="Calibri"/>
          <w:lang w:val="en-US"/>
        </w:rPr>
        <w:t xml:space="preserve"> to:</w:t>
      </w:r>
    </w:p>
    <w:p w14:paraId="15CCF8D7" w14:textId="6F3EB60F" w:rsidR="00594E3A" w:rsidRPr="00696ADC" w:rsidRDefault="00594E3A" w:rsidP="00594E3A">
      <w:pPr>
        <w:pStyle w:val="ListParagraph"/>
        <w:numPr>
          <w:ilvl w:val="0"/>
          <w:numId w:val="40"/>
        </w:numPr>
        <w:jc w:val="both"/>
        <w:rPr>
          <w:rFonts w:cs="Calibri"/>
          <w:i/>
          <w:lang w:val="en-US"/>
        </w:rPr>
      </w:pPr>
      <w:r w:rsidRPr="00696ADC">
        <w:rPr>
          <w:rFonts w:cs="Calibri"/>
          <w:i/>
          <w:lang w:val="en-US"/>
        </w:rPr>
        <w:t>Acknowledge the need of reporting spatial load distribution of cells; a solution is needed; RAN3 will work on a solution. Details on solutions are FFS.</w:t>
      </w:r>
    </w:p>
    <w:p w14:paraId="737303E1" w14:textId="77777777" w:rsidR="00594E3A" w:rsidRPr="001608D4" w:rsidRDefault="00594E3A" w:rsidP="00594E3A">
      <w:pPr>
        <w:widowControl w:val="0"/>
        <w:spacing w:after="0"/>
        <w:ind w:left="144" w:hanging="144"/>
        <w:jc w:val="both"/>
        <w:rPr>
          <w:rFonts w:cs="Calibri"/>
          <w:b/>
          <w:color w:val="00B050"/>
          <w:sz w:val="18"/>
          <w:szCs w:val="24"/>
          <w:lang w:val="en-US" w:eastAsia="zh-CN"/>
        </w:rPr>
      </w:pPr>
    </w:p>
    <w:p w14:paraId="3CAF41FB" w14:textId="7CF70C24" w:rsidR="00585591" w:rsidRPr="0035645E" w:rsidRDefault="00594E3A" w:rsidP="00594E3A">
      <w:pPr>
        <w:jc w:val="both"/>
        <w:rPr>
          <w:lang w:val="en-US" w:eastAsia="en-GB"/>
        </w:rPr>
      </w:pPr>
      <w:r w:rsidRPr="0035645E">
        <w:rPr>
          <w:lang w:val="en-US" w:eastAsia="en-GB"/>
        </w:rPr>
        <w:t>This contribution</w:t>
      </w:r>
      <w:r>
        <w:rPr>
          <w:lang w:val="en-US" w:eastAsia="en-GB"/>
        </w:rPr>
        <w:t xml:space="preserve"> further</w:t>
      </w:r>
      <w:r w:rsidRPr="0035645E">
        <w:rPr>
          <w:lang w:val="en-US" w:eastAsia="en-GB"/>
        </w:rPr>
        <w:t xml:space="preserve"> </w:t>
      </w:r>
      <w:r>
        <w:rPr>
          <w:lang w:val="en-US" w:eastAsia="en-GB"/>
        </w:rPr>
        <w:t>elaborates on the</w:t>
      </w:r>
      <w:r w:rsidRPr="0035645E">
        <w:rPr>
          <w:lang w:val="en-US" w:eastAsia="en-GB"/>
        </w:rPr>
        <w:t xml:space="preserve"> limitation of exploiting only cell-level load reporting in load balancing as part of the task of assessing “</w:t>
      </w:r>
      <w:r w:rsidRPr="0035645E">
        <w:rPr>
          <w:i/>
          <w:color w:val="000000"/>
          <w:lang w:val="en-US" w:eastAsia="zh-CN"/>
        </w:rPr>
        <w:t xml:space="preserve">whether the listed metrics in the conclusions are sufficient for the correct functioning of the load management function and whether they should be complemented with additional enhancements during Release 16 normative </w:t>
      </w:r>
      <w:r w:rsidRPr="005772BA">
        <w:rPr>
          <w:i/>
          <w:color w:val="000000"/>
          <w:lang w:val="en-US" w:eastAsia="zh-CN"/>
        </w:rPr>
        <w:t>phase</w:t>
      </w:r>
      <w:r w:rsidRPr="005772BA">
        <w:rPr>
          <w:lang w:val="en-US" w:eastAsia="en-GB"/>
        </w:rPr>
        <w:t xml:space="preserve">” listed in the conclusions of the TR 37.816 </w:t>
      </w:r>
      <w:r w:rsidRPr="005772BA">
        <w:rPr>
          <w:lang w:val="en-US" w:eastAsia="en-GB"/>
        </w:rPr>
        <w:fldChar w:fldCharType="begin"/>
      </w:r>
      <w:r w:rsidRPr="005772BA">
        <w:rPr>
          <w:lang w:val="en-US" w:eastAsia="en-GB"/>
        </w:rPr>
        <w:instrText xml:space="preserve"> REF _Ref14094117 \r \h </w:instrText>
      </w:r>
      <w:r>
        <w:rPr>
          <w:lang w:val="en-US" w:eastAsia="en-GB"/>
        </w:rPr>
        <w:instrText xml:space="preserve"> \* MERGEFORMAT </w:instrText>
      </w:r>
      <w:r w:rsidRPr="005772BA">
        <w:rPr>
          <w:lang w:val="en-US" w:eastAsia="en-GB"/>
        </w:rPr>
      </w:r>
      <w:r w:rsidRPr="005772BA">
        <w:rPr>
          <w:lang w:val="en-US" w:eastAsia="en-GB"/>
        </w:rPr>
        <w:fldChar w:fldCharType="separate"/>
      </w:r>
      <w:r w:rsidRPr="005772BA">
        <w:rPr>
          <w:lang w:val="en-US" w:eastAsia="en-GB"/>
        </w:rPr>
        <w:t>[3]</w:t>
      </w:r>
      <w:r w:rsidRPr="005772BA">
        <w:rPr>
          <w:lang w:val="en-US" w:eastAsia="en-GB"/>
        </w:rPr>
        <w:fldChar w:fldCharType="end"/>
      </w:r>
      <w:r w:rsidRPr="005772BA">
        <w:rPr>
          <w:lang w:val="en-US" w:eastAsia="en-GB"/>
        </w:rPr>
        <w:t xml:space="preserve"> . </w:t>
      </w:r>
      <w:r w:rsidR="00D82758" w:rsidRPr="00492386">
        <w:rPr>
          <w:lang w:val="en-US" w:eastAsia="en-GB"/>
        </w:rPr>
        <w:t>This contrib</w:t>
      </w:r>
      <w:r w:rsidR="005E37CA" w:rsidRPr="00492386">
        <w:rPr>
          <w:lang w:val="en-US" w:eastAsia="en-GB"/>
        </w:rPr>
        <w:t>ution</w:t>
      </w:r>
      <w:r w:rsidR="009F0709" w:rsidRPr="00492386">
        <w:rPr>
          <w:lang w:val="en-US" w:eastAsia="en-GB"/>
        </w:rPr>
        <w:t xml:space="preserve"> is a </w:t>
      </w:r>
      <w:r w:rsidR="00492386" w:rsidRPr="00492386">
        <w:rPr>
          <w:lang w:val="en-US" w:eastAsia="en-GB"/>
        </w:rPr>
        <w:t xml:space="preserve">partial </w:t>
      </w:r>
      <w:r w:rsidR="009F0709" w:rsidRPr="00492386">
        <w:rPr>
          <w:lang w:val="en-US" w:eastAsia="en-GB"/>
        </w:rPr>
        <w:t xml:space="preserve">resubmission of </w:t>
      </w:r>
      <w:r w:rsidR="009F0709" w:rsidRPr="00492386">
        <w:rPr>
          <w:szCs w:val="24"/>
          <w:lang w:val="en-US"/>
        </w:rPr>
        <w:t>R3-194286</w:t>
      </w:r>
      <w:r w:rsidR="005772BA" w:rsidRPr="00492386">
        <w:rPr>
          <w:szCs w:val="24"/>
          <w:lang w:val="en-US"/>
        </w:rPr>
        <w:t xml:space="preserve"> </w:t>
      </w:r>
      <w:r w:rsidR="005772BA" w:rsidRPr="00492386">
        <w:rPr>
          <w:szCs w:val="24"/>
          <w:lang w:val="en-US"/>
        </w:rPr>
        <w:fldChar w:fldCharType="begin"/>
      </w:r>
      <w:r w:rsidR="005772BA" w:rsidRPr="00492386">
        <w:rPr>
          <w:szCs w:val="24"/>
          <w:lang w:val="en-US"/>
        </w:rPr>
        <w:instrText xml:space="preserve"> REF _Ref19092037 \r \h </w:instrText>
      </w:r>
      <w:r w:rsidR="00492386">
        <w:rPr>
          <w:szCs w:val="24"/>
          <w:lang w:val="en-US"/>
        </w:rPr>
        <w:instrText xml:space="preserve"> \* MERGEFORMAT </w:instrText>
      </w:r>
      <w:r w:rsidR="005772BA" w:rsidRPr="00492386">
        <w:rPr>
          <w:szCs w:val="24"/>
          <w:lang w:val="en-US"/>
        </w:rPr>
      </w:r>
      <w:r w:rsidR="005772BA" w:rsidRPr="00492386">
        <w:rPr>
          <w:szCs w:val="24"/>
          <w:lang w:val="en-US"/>
        </w:rPr>
        <w:fldChar w:fldCharType="separate"/>
      </w:r>
      <w:r w:rsidR="005772BA" w:rsidRPr="00492386">
        <w:rPr>
          <w:szCs w:val="24"/>
          <w:lang w:val="en-US"/>
        </w:rPr>
        <w:t>[4]</w:t>
      </w:r>
      <w:r w:rsidR="005772BA" w:rsidRPr="00492386">
        <w:rPr>
          <w:szCs w:val="24"/>
          <w:lang w:val="en-US"/>
        </w:rPr>
        <w:fldChar w:fldCharType="end"/>
      </w:r>
      <w:r w:rsidR="007A4452" w:rsidRPr="00492386">
        <w:rPr>
          <w:szCs w:val="24"/>
          <w:lang w:val="en-US"/>
        </w:rPr>
        <w:t>.</w:t>
      </w:r>
    </w:p>
    <w:p w14:paraId="4C436DC2" w14:textId="486430BC" w:rsidR="00B83BAE" w:rsidRPr="002F3C5F" w:rsidRDefault="004000E8" w:rsidP="00B83BAE">
      <w:pPr>
        <w:pStyle w:val="Heading1"/>
        <w:jc w:val="both"/>
      </w:pPr>
      <w:bookmarkStart w:id="2" w:name="_Ref178064866"/>
      <w:r w:rsidRPr="00CE0424">
        <w:t>Discussion</w:t>
      </w:r>
      <w:bookmarkEnd w:id="2"/>
    </w:p>
    <w:p w14:paraId="58D5C4A5" w14:textId="4E7F0CD9" w:rsidR="00111CD8" w:rsidRDefault="0013732D" w:rsidP="00E75E65">
      <w:pPr>
        <w:pStyle w:val="Heading2"/>
        <w:jc w:val="both"/>
      </w:pPr>
      <w:r>
        <w:t xml:space="preserve">Cell-specific load information in </w:t>
      </w:r>
      <w:r w:rsidR="002001BE">
        <w:t>LTE and NR</w:t>
      </w:r>
    </w:p>
    <w:p w14:paraId="3C37AE4C" w14:textId="6C193066" w:rsidR="003352BD" w:rsidRDefault="00162CA2" w:rsidP="00530A14">
      <w:pPr>
        <w:jc w:val="both"/>
        <w:rPr>
          <w:lang w:val="en-GB" w:eastAsia="zh-CN"/>
        </w:rPr>
      </w:pPr>
      <w:r>
        <w:rPr>
          <w:lang w:val="en-GB" w:eastAsia="zh-CN"/>
        </w:rPr>
        <w:t>Cell-specific load information</w:t>
      </w:r>
      <w:r w:rsidR="006C0A6A">
        <w:rPr>
          <w:lang w:val="en-GB" w:eastAsia="zh-CN"/>
        </w:rPr>
        <w:t xml:space="preserve">, such as </w:t>
      </w:r>
      <w:r w:rsidR="006C0A6A" w:rsidRPr="0035645E">
        <w:rPr>
          <w:i/>
          <w:lang w:val="en-US" w:eastAsia="en-GB"/>
        </w:rPr>
        <w:t xml:space="preserve">Composite Available Capacity per cell, </w:t>
      </w:r>
      <w:r w:rsidR="006C0A6A" w:rsidRPr="0035645E">
        <w:rPr>
          <w:i/>
          <w:lang w:val="en-US" w:eastAsia="zh-CN"/>
        </w:rPr>
        <w:t>Cell Level Load</w:t>
      </w:r>
      <w:r>
        <w:rPr>
          <w:lang w:val="en-GB" w:eastAsia="zh-CN"/>
        </w:rPr>
        <w:t xml:space="preserve"> </w:t>
      </w:r>
      <w:r w:rsidR="006C0A6A">
        <w:rPr>
          <w:lang w:val="en-GB" w:eastAsia="zh-CN"/>
        </w:rPr>
        <w:t xml:space="preserve">and </w:t>
      </w:r>
      <w:r w:rsidR="006C0A6A" w:rsidRPr="0035645E">
        <w:rPr>
          <w:i/>
          <w:lang w:val="en-US" w:eastAsia="zh-CN"/>
        </w:rPr>
        <w:t xml:space="preserve">TNL Load, </w:t>
      </w:r>
      <w:r w:rsidR="00145B52">
        <w:rPr>
          <w:lang w:val="en-GB" w:eastAsia="zh-CN"/>
        </w:rPr>
        <w:t>ha</w:t>
      </w:r>
      <w:r w:rsidR="005911FF">
        <w:rPr>
          <w:lang w:val="en-GB" w:eastAsia="zh-CN"/>
        </w:rPr>
        <w:t>s</w:t>
      </w:r>
      <w:r w:rsidR="00145B52">
        <w:rPr>
          <w:lang w:val="en-GB" w:eastAsia="zh-CN"/>
        </w:rPr>
        <w:t xml:space="preserve"> been introduced in </w:t>
      </w:r>
      <w:r w:rsidR="005916F3">
        <w:rPr>
          <w:lang w:val="en-GB" w:eastAsia="zh-CN"/>
        </w:rPr>
        <w:t>early</w:t>
      </w:r>
      <w:r w:rsidR="006C0A6A">
        <w:rPr>
          <w:lang w:val="en-GB" w:eastAsia="zh-CN"/>
        </w:rPr>
        <w:t xml:space="preserve"> releases </w:t>
      </w:r>
      <w:r w:rsidR="00895828">
        <w:rPr>
          <w:lang w:val="en-GB" w:eastAsia="zh-CN"/>
        </w:rPr>
        <w:t xml:space="preserve">of LTE </w:t>
      </w:r>
      <w:r w:rsidR="00145B52">
        <w:rPr>
          <w:lang w:val="en-GB" w:eastAsia="zh-CN"/>
        </w:rPr>
        <w:t>to</w:t>
      </w:r>
      <w:r w:rsidR="0057155D">
        <w:rPr>
          <w:lang w:val="en-GB" w:eastAsia="zh-CN"/>
        </w:rPr>
        <w:t xml:space="preserve"> enable load management between neighbouring </w:t>
      </w:r>
      <w:proofErr w:type="spellStart"/>
      <w:r w:rsidR="0057155D">
        <w:rPr>
          <w:lang w:val="en-GB" w:eastAsia="zh-CN"/>
        </w:rPr>
        <w:t>eNBs</w:t>
      </w:r>
      <w:proofErr w:type="spellEnd"/>
      <w:r w:rsidR="0057155D">
        <w:rPr>
          <w:lang w:val="en-GB" w:eastAsia="zh-CN"/>
        </w:rPr>
        <w:t xml:space="preserve">. </w:t>
      </w:r>
      <w:r w:rsidR="003E4C30">
        <w:rPr>
          <w:lang w:val="en-GB" w:eastAsia="zh-CN"/>
        </w:rPr>
        <w:t xml:space="preserve">Due to </w:t>
      </w:r>
      <w:r w:rsidR="001D6DD9">
        <w:rPr>
          <w:lang w:val="en-GB" w:eastAsia="zh-CN"/>
        </w:rPr>
        <w:t>the</w:t>
      </w:r>
      <w:r w:rsidR="003E4C30">
        <w:rPr>
          <w:lang w:val="en-GB" w:eastAsia="zh-CN"/>
        </w:rPr>
        <w:t>ir</w:t>
      </w:r>
      <w:r w:rsidR="001D6DD9">
        <w:rPr>
          <w:lang w:val="en-GB" w:eastAsia="zh-CN"/>
        </w:rPr>
        <w:t xml:space="preserve"> limited MIMO capabilities </w:t>
      </w:r>
      <w:r w:rsidR="004E2FBE">
        <w:rPr>
          <w:lang w:val="en-GB" w:eastAsia="zh-CN"/>
        </w:rPr>
        <w:t>and</w:t>
      </w:r>
      <w:r w:rsidR="003A34D7">
        <w:rPr>
          <w:lang w:val="en-GB" w:eastAsia="zh-CN"/>
        </w:rPr>
        <w:t xml:space="preserve"> </w:t>
      </w:r>
      <w:r w:rsidR="004E2FBE">
        <w:rPr>
          <w:lang w:val="en-GB" w:eastAsia="zh-CN"/>
        </w:rPr>
        <w:t xml:space="preserve">the </w:t>
      </w:r>
      <w:r w:rsidR="001A3E1F">
        <w:rPr>
          <w:lang w:val="en-GB" w:eastAsia="zh-CN"/>
        </w:rPr>
        <w:t xml:space="preserve">available downlink </w:t>
      </w:r>
      <w:r w:rsidR="000D0C40">
        <w:rPr>
          <w:lang w:val="en-GB" w:eastAsia="zh-CN"/>
        </w:rPr>
        <w:t>reference signals</w:t>
      </w:r>
      <w:r w:rsidR="003E4C30">
        <w:rPr>
          <w:lang w:val="en-GB" w:eastAsia="zh-CN"/>
        </w:rPr>
        <w:t xml:space="preserve">, </w:t>
      </w:r>
      <w:r w:rsidR="00F005D7">
        <w:rPr>
          <w:lang w:val="en-GB" w:eastAsia="zh-CN"/>
        </w:rPr>
        <w:t xml:space="preserve">these </w:t>
      </w:r>
      <w:r w:rsidR="003E4C30">
        <w:rPr>
          <w:lang w:val="en-GB" w:eastAsia="zh-CN"/>
        </w:rPr>
        <w:t>early LTE releases</w:t>
      </w:r>
      <w:r w:rsidR="003F61C1">
        <w:rPr>
          <w:lang w:val="en-GB" w:eastAsia="zh-CN"/>
        </w:rPr>
        <w:t xml:space="preserve"> </w:t>
      </w:r>
      <w:r w:rsidR="00DC406B">
        <w:rPr>
          <w:lang w:val="en-GB" w:eastAsia="zh-CN"/>
        </w:rPr>
        <w:t xml:space="preserve">could not </w:t>
      </w:r>
      <w:r w:rsidR="00021E75">
        <w:rPr>
          <w:lang w:val="en-GB" w:eastAsia="zh-CN"/>
        </w:rPr>
        <w:t xml:space="preserve">support </w:t>
      </w:r>
      <w:r w:rsidR="0084211A">
        <w:rPr>
          <w:lang w:val="en-GB" w:eastAsia="zh-CN"/>
        </w:rPr>
        <w:t>a finer characterisation of the ce</w:t>
      </w:r>
      <w:r w:rsidR="00026B61">
        <w:rPr>
          <w:lang w:val="en-GB" w:eastAsia="zh-CN"/>
        </w:rPr>
        <w:t xml:space="preserve">ll </w:t>
      </w:r>
      <w:r w:rsidR="0084211A">
        <w:rPr>
          <w:lang w:val="en-GB" w:eastAsia="zh-CN"/>
        </w:rPr>
        <w:t>load</w:t>
      </w:r>
      <w:r w:rsidR="00DC406B">
        <w:rPr>
          <w:lang w:val="en-GB" w:eastAsia="zh-CN"/>
        </w:rPr>
        <w:t xml:space="preserve"> distribution</w:t>
      </w:r>
      <w:r w:rsidR="00457022">
        <w:rPr>
          <w:lang w:val="en-GB" w:eastAsia="zh-CN"/>
        </w:rPr>
        <w:t>, e.g.</w:t>
      </w:r>
      <w:r w:rsidR="00DC406B">
        <w:rPr>
          <w:lang w:val="en-GB" w:eastAsia="zh-CN"/>
        </w:rPr>
        <w:t xml:space="preserve"> in the spatial domain.</w:t>
      </w:r>
      <w:r w:rsidR="00650081">
        <w:rPr>
          <w:lang w:val="en-GB" w:eastAsia="zh-CN"/>
        </w:rPr>
        <w:t xml:space="preserve"> </w:t>
      </w:r>
      <w:r w:rsidR="006B6AE8">
        <w:rPr>
          <w:lang w:val="en-GB" w:eastAsia="zh-CN"/>
        </w:rPr>
        <w:t>Despite recent advances in active antenna technology</w:t>
      </w:r>
      <w:r w:rsidR="00D10B22">
        <w:rPr>
          <w:lang w:val="en-GB" w:eastAsia="zh-CN"/>
        </w:rPr>
        <w:t xml:space="preserve"> have</w:t>
      </w:r>
      <w:r w:rsidR="006B6AE8">
        <w:rPr>
          <w:lang w:val="en-GB" w:eastAsia="zh-CN"/>
        </w:rPr>
        <w:t xml:space="preserve"> enabled to increase the number of antenna available at the base station and improve the MIMO capability of the cell by means</w:t>
      </w:r>
      <w:r w:rsidR="00D10B22">
        <w:rPr>
          <w:lang w:val="en-GB" w:eastAsia="zh-CN"/>
        </w:rPr>
        <w:t xml:space="preserve">, for instance of </w:t>
      </w:r>
      <w:r w:rsidR="00FB5D6D">
        <w:rPr>
          <w:lang w:val="en-GB" w:eastAsia="zh-CN"/>
        </w:rPr>
        <w:t xml:space="preserve">new CSI-RS signals </w:t>
      </w:r>
      <w:r w:rsidR="00533566">
        <w:rPr>
          <w:lang w:val="en-GB" w:eastAsia="zh-CN"/>
        </w:rPr>
        <w:t xml:space="preserve">and </w:t>
      </w:r>
      <w:r w:rsidR="00B375C6" w:rsidRPr="0035645E">
        <w:rPr>
          <w:lang w:val="en-US"/>
        </w:rPr>
        <w:t>beamformed CSI-RS transmission</w:t>
      </w:r>
      <w:r w:rsidR="008D3910" w:rsidRPr="0035645E">
        <w:rPr>
          <w:lang w:val="en-US"/>
        </w:rPr>
        <w:t xml:space="preserve"> (i.e., class B FD-MIMO)</w:t>
      </w:r>
      <w:r w:rsidR="006B6AE8">
        <w:rPr>
          <w:lang w:val="en-GB" w:eastAsia="zh-CN"/>
        </w:rPr>
        <w:t xml:space="preserve">, </w:t>
      </w:r>
      <w:r w:rsidR="00C46B03">
        <w:rPr>
          <w:lang w:val="en-GB" w:eastAsia="zh-CN"/>
        </w:rPr>
        <w:t>load information reports in LTE has</w:t>
      </w:r>
      <w:r w:rsidR="009803FB">
        <w:rPr>
          <w:lang w:val="en-GB" w:eastAsia="zh-CN"/>
        </w:rPr>
        <w:t xml:space="preserve"> </w:t>
      </w:r>
      <w:r w:rsidR="00E100D2">
        <w:rPr>
          <w:lang w:val="en-GB" w:eastAsia="zh-CN"/>
        </w:rPr>
        <w:t xml:space="preserve">remained </w:t>
      </w:r>
      <w:r w:rsidR="00C46B03">
        <w:rPr>
          <w:lang w:val="en-GB" w:eastAsia="zh-CN"/>
        </w:rPr>
        <w:t>cell-specific.</w:t>
      </w:r>
      <w:r w:rsidR="00BC27E7">
        <w:rPr>
          <w:lang w:val="en-GB" w:eastAsia="zh-CN"/>
        </w:rPr>
        <w:t xml:space="preserve"> It should be noted that 3GPP did not analyse </w:t>
      </w:r>
      <w:r w:rsidR="001D723B">
        <w:rPr>
          <w:lang w:val="en-GB" w:eastAsia="zh-CN"/>
        </w:rPr>
        <w:t xml:space="preserve">the load balancing function </w:t>
      </w:r>
      <w:proofErr w:type="gramStart"/>
      <w:r w:rsidR="001D723B">
        <w:rPr>
          <w:lang w:val="en-GB" w:eastAsia="zh-CN"/>
        </w:rPr>
        <w:t>in light of</w:t>
      </w:r>
      <w:proofErr w:type="gramEnd"/>
      <w:r w:rsidR="001D723B">
        <w:rPr>
          <w:lang w:val="en-GB" w:eastAsia="zh-CN"/>
        </w:rPr>
        <w:t xml:space="preserve"> progress in active antenna systems, which is the reason </w:t>
      </w:r>
      <w:r w:rsidR="000B7EF1">
        <w:rPr>
          <w:lang w:val="en-GB" w:eastAsia="zh-CN"/>
        </w:rPr>
        <w:t>the load balancing function remained unchanged across the releases.</w:t>
      </w:r>
    </w:p>
    <w:p w14:paraId="64742CCC" w14:textId="53E201E8" w:rsidR="00A36A71" w:rsidRPr="0035645E" w:rsidRDefault="00A36A71" w:rsidP="00530A14">
      <w:pPr>
        <w:jc w:val="both"/>
        <w:rPr>
          <w:lang w:val="en-US" w:eastAsia="zh-CN"/>
        </w:rPr>
      </w:pPr>
      <w:r>
        <w:rPr>
          <w:lang w:val="en-GB" w:eastAsia="zh-CN"/>
        </w:rPr>
        <w:lastRenderedPageBreak/>
        <w:t xml:space="preserve">To </w:t>
      </w:r>
      <w:r w:rsidR="003C6A7B">
        <w:rPr>
          <w:lang w:val="en-GB" w:eastAsia="zh-CN"/>
        </w:rPr>
        <w:t xml:space="preserve">better </w:t>
      </w:r>
      <w:r>
        <w:rPr>
          <w:lang w:val="en-GB" w:eastAsia="zh-CN"/>
        </w:rPr>
        <w:t>capitalize the MIMO capabilities</w:t>
      </w:r>
      <w:r w:rsidR="003C6A7B">
        <w:rPr>
          <w:lang w:val="en-GB" w:eastAsia="zh-CN"/>
        </w:rPr>
        <w:t xml:space="preserve"> of large antenna arrays</w:t>
      </w:r>
      <w:r>
        <w:rPr>
          <w:lang w:val="en-GB" w:eastAsia="zh-CN"/>
        </w:rPr>
        <w:t xml:space="preserve">, </w:t>
      </w:r>
      <w:r w:rsidRPr="0035645E">
        <w:rPr>
          <w:lang w:val="en-US" w:eastAsia="zh-CN"/>
        </w:rPr>
        <w:t xml:space="preserve">a 3GPP NR cell can be configured to transmit multiple Synchronization Signals and PBCH Blocks (SSB) </w:t>
      </w:r>
      <w:r w:rsidR="009550DC" w:rsidRPr="0035645E">
        <w:rPr>
          <w:lang w:val="en-US" w:eastAsia="zh-CN"/>
        </w:rPr>
        <w:t>for</w:t>
      </w:r>
      <w:r w:rsidRPr="0035645E">
        <w:rPr>
          <w:lang w:val="en-US" w:eastAsia="zh-CN"/>
        </w:rPr>
        <w:t xml:space="preserve"> cell search and synchronization. An SSB consists of a primary and secondary synchronization signals (PSS, SSS)</w:t>
      </w:r>
      <w:r w:rsidR="00860CA4" w:rsidRPr="0035645E">
        <w:rPr>
          <w:lang w:val="en-US" w:eastAsia="zh-CN"/>
        </w:rPr>
        <w:t xml:space="preserve"> and </w:t>
      </w:r>
      <w:r w:rsidR="009A2D5D" w:rsidRPr="0035645E">
        <w:rPr>
          <w:lang w:val="en-US" w:eastAsia="zh-CN"/>
        </w:rPr>
        <w:t>physical broadcast channel</w:t>
      </w:r>
      <w:r w:rsidRPr="0035645E">
        <w:rPr>
          <w:lang w:val="en-US" w:eastAsia="zh-CN"/>
        </w:rPr>
        <w:t xml:space="preserve"> </w:t>
      </w:r>
      <w:r w:rsidR="009A2D5D" w:rsidRPr="0035645E">
        <w:rPr>
          <w:lang w:val="en-US" w:eastAsia="zh-CN"/>
        </w:rPr>
        <w:t>(</w:t>
      </w:r>
      <w:r w:rsidRPr="0035645E">
        <w:rPr>
          <w:lang w:val="en-US" w:eastAsia="zh-CN"/>
        </w:rPr>
        <w:t>PBCH</w:t>
      </w:r>
      <w:r w:rsidR="009A2D5D" w:rsidRPr="0035645E">
        <w:rPr>
          <w:lang w:val="en-US" w:eastAsia="zh-CN"/>
        </w:rPr>
        <w:t>)</w:t>
      </w:r>
      <w:r w:rsidRPr="0035645E">
        <w:rPr>
          <w:lang w:val="en-US" w:eastAsia="zh-CN"/>
        </w:rPr>
        <w:t>.</w:t>
      </w:r>
      <w:r w:rsidR="009A2D5D" w:rsidRPr="0035645E">
        <w:rPr>
          <w:lang w:val="en-US" w:eastAsia="zh-CN"/>
        </w:rPr>
        <w:t xml:space="preserve"> While </w:t>
      </w:r>
      <w:r w:rsidR="00A47A35" w:rsidRPr="0035645E">
        <w:rPr>
          <w:lang w:val="en-US" w:eastAsia="zh-CN"/>
        </w:rPr>
        <w:t xml:space="preserve">for a given frequency location the </w:t>
      </w:r>
      <w:r w:rsidR="009A2D5D" w:rsidRPr="0035645E">
        <w:rPr>
          <w:lang w:val="en-US" w:eastAsia="zh-CN"/>
        </w:rPr>
        <w:t xml:space="preserve">PSS/SSS </w:t>
      </w:r>
      <w:r w:rsidR="00A47A35" w:rsidRPr="0035645E">
        <w:rPr>
          <w:lang w:val="en-US" w:eastAsia="zh-CN"/>
        </w:rPr>
        <w:t xml:space="preserve">signals </w:t>
      </w:r>
      <w:r w:rsidR="006A5223" w:rsidRPr="0035645E">
        <w:rPr>
          <w:lang w:val="en-US" w:eastAsia="zh-CN"/>
        </w:rPr>
        <w:t>carry the physical cell ID (</w:t>
      </w:r>
      <w:r w:rsidRPr="0035645E">
        <w:rPr>
          <w:lang w:val="en-US" w:eastAsia="zh-CN"/>
        </w:rPr>
        <w:t>PCI</w:t>
      </w:r>
      <w:r w:rsidR="006A5223" w:rsidRPr="0035645E">
        <w:rPr>
          <w:lang w:val="en-US" w:eastAsia="zh-CN"/>
        </w:rPr>
        <w:t xml:space="preserve">), </w:t>
      </w:r>
      <w:r w:rsidR="00D53BB1" w:rsidRPr="0035645E">
        <w:rPr>
          <w:lang w:val="en-US" w:eastAsia="zh-CN"/>
        </w:rPr>
        <w:t xml:space="preserve">up to 64 SSB </w:t>
      </w:r>
      <w:r w:rsidR="009D0F2A" w:rsidRPr="0035645E">
        <w:rPr>
          <w:lang w:val="en-US" w:eastAsia="zh-CN"/>
        </w:rPr>
        <w:t>can be transmitted within a NR half-frame in different spatial directions (i.e. using different spatial beams</w:t>
      </w:r>
      <w:r w:rsidR="003B0180" w:rsidRPr="0035645E">
        <w:rPr>
          <w:lang w:val="en-US" w:eastAsia="zh-CN"/>
        </w:rPr>
        <w:t>,</w:t>
      </w:r>
      <w:r w:rsidR="009D0F2A" w:rsidRPr="0035645E">
        <w:rPr>
          <w:lang w:val="en-US" w:eastAsia="zh-CN"/>
        </w:rPr>
        <w:t xml:space="preserve"> spanning the coverage area of a cell)</w:t>
      </w:r>
      <w:r w:rsidR="00B5121E" w:rsidRPr="0035645E">
        <w:rPr>
          <w:lang w:val="en-US" w:eastAsia="zh-CN"/>
        </w:rPr>
        <w:t xml:space="preserve">, each identified by a unique SSB </w:t>
      </w:r>
      <w:r w:rsidR="00E638FB" w:rsidRPr="0035645E">
        <w:rPr>
          <w:lang w:val="en-US" w:eastAsia="zh-CN"/>
        </w:rPr>
        <w:t xml:space="preserve">beam </w:t>
      </w:r>
      <w:r w:rsidR="00B5121E" w:rsidRPr="0035645E">
        <w:rPr>
          <w:lang w:val="en-US" w:eastAsia="zh-CN"/>
        </w:rPr>
        <w:t>index</w:t>
      </w:r>
      <w:r w:rsidR="009D0F2A" w:rsidRPr="0035645E">
        <w:rPr>
          <w:lang w:val="en-US" w:eastAsia="zh-CN"/>
        </w:rPr>
        <w:t>.</w:t>
      </w:r>
    </w:p>
    <w:p w14:paraId="639AFF6D" w14:textId="1D629D03" w:rsidR="005F76B7" w:rsidRPr="00914F8E" w:rsidRDefault="005F76B7" w:rsidP="00530A14">
      <w:pPr>
        <w:jc w:val="both"/>
        <w:rPr>
          <w:lang w:eastAsia="zh-CN"/>
        </w:rPr>
      </w:pPr>
      <w:r w:rsidRPr="0035645E">
        <w:rPr>
          <w:lang w:val="en-US" w:eastAsia="zh-CN"/>
        </w:rPr>
        <w:t xml:space="preserve">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divide the cell in SSB </w:t>
      </w:r>
      <w:r w:rsidR="00942F55" w:rsidRPr="0035645E">
        <w:rPr>
          <w:lang w:val="en-US" w:eastAsia="zh-CN"/>
        </w:rPr>
        <w:t xml:space="preserve">beam </w:t>
      </w:r>
      <w:r w:rsidRPr="0035645E">
        <w:rPr>
          <w:lang w:val="en-US" w:eastAsia="zh-CN"/>
        </w:rPr>
        <w:t xml:space="preserve">coverage areas and to determine parameters such as load, composite capacity, resource status information </w:t>
      </w:r>
      <w:r w:rsidR="004A7A73" w:rsidRPr="0035645E">
        <w:rPr>
          <w:lang w:val="en-US" w:eastAsia="zh-CN"/>
        </w:rPr>
        <w:t>for each SSB beam coverage area</w:t>
      </w:r>
      <w:r w:rsidRPr="0035645E">
        <w:rPr>
          <w:lang w:val="en-US" w:eastAsia="zh-CN"/>
        </w:rPr>
        <w:t xml:space="preserve">. </w:t>
      </w:r>
      <w:r w:rsidR="00241EE8" w:rsidRPr="0035645E">
        <w:rPr>
          <w:lang w:val="en-US" w:eastAsia="zh-CN"/>
        </w:rPr>
        <w:t xml:space="preserve">With this it is worth noticing that while the reference signal structure in LTE did not allow for </w:t>
      </w:r>
      <w:r w:rsidR="00BA5BB7" w:rsidRPr="0035645E">
        <w:rPr>
          <w:lang w:val="en-US" w:eastAsia="zh-CN"/>
        </w:rPr>
        <w:t xml:space="preserve">a spatial </w:t>
      </w:r>
      <w:r w:rsidR="00431A85" w:rsidRPr="0035645E">
        <w:rPr>
          <w:lang w:val="en-US" w:eastAsia="zh-CN"/>
        </w:rPr>
        <w:t>characterization</w:t>
      </w:r>
      <w:r w:rsidR="00BA5BB7" w:rsidRPr="0035645E">
        <w:rPr>
          <w:lang w:val="en-US" w:eastAsia="zh-CN"/>
        </w:rPr>
        <w:t xml:space="preserve"> of a cell (because the cell had only one RS for its all coverage), </w:t>
      </w:r>
      <w:r w:rsidR="00F750F5" w:rsidRPr="0035645E">
        <w:rPr>
          <w:lang w:val="en-US" w:eastAsia="zh-CN"/>
        </w:rPr>
        <w:t xml:space="preserve">in NR a cell can have different subareas covered by a different RS. </w:t>
      </w:r>
      <w:r w:rsidR="00540176">
        <w:rPr>
          <w:lang w:eastAsia="zh-CN"/>
        </w:rPr>
        <w:t>This allows for load characterization in the special domain.</w:t>
      </w:r>
    </w:p>
    <w:p w14:paraId="1AE84019" w14:textId="3E24F9B9" w:rsidR="007B0FD8" w:rsidRPr="0035645E" w:rsidRDefault="006A2706" w:rsidP="00530A14">
      <w:pPr>
        <w:pStyle w:val="ListParagraph"/>
        <w:numPr>
          <w:ilvl w:val="0"/>
          <w:numId w:val="39"/>
        </w:numPr>
        <w:ind w:left="1701" w:hanging="1701"/>
        <w:jc w:val="both"/>
        <w:rPr>
          <w:b/>
          <w:lang w:val="en-US" w:eastAsia="zh-CN"/>
        </w:rPr>
      </w:pPr>
      <w:r w:rsidRPr="0035645E">
        <w:rPr>
          <w:b/>
          <w:lang w:val="en-US" w:eastAsia="zh-CN"/>
        </w:rPr>
        <w:t>NR</w:t>
      </w:r>
      <w:r w:rsidR="00EA7C72" w:rsidRPr="0035645E">
        <w:rPr>
          <w:b/>
          <w:lang w:val="en-US" w:eastAsia="zh-CN"/>
        </w:rPr>
        <w:t xml:space="preserve"> </w:t>
      </w:r>
      <w:r w:rsidR="00565C24" w:rsidRPr="0035645E">
        <w:rPr>
          <w:b/>
          <w:lang w:val="en-US" w:eastAsia="zh-CN"/>
        </w:rPr>
        <w:t xml:space="preserve">already </w:t>
      </w:r>
      <w:r w:rsidR="00EA7C72" w:rsidRPr="0035645E">
        <w:rPr>
          <w:b/>
          <w:lang w:val="en-US" w:eastAsia="zh-CN"/>
        </w:rPr>
        <w:t>su</w:t>
      </w:r>
      <w:r w:rsidR="00565C24" w:rsidRPr="0035645E">
        <w:rPr>
          <w:b/>
          <w:lang w:val="en-US" w:eastAsia="zh-CN"/>
        </w:rPr>
        <w:t xml:space="preserve">pports </w:t>
      </w:r>
      <w:r w:rsidR="007B7AE3" w:rsidRPr="0035645E">
        <w:rPr>
          <w:b/>
          <w:lang w:val="en-US" w:eastAsia="zh-CN"/>
        </w:rPr>
        <w:t xml:space="preserve">downlink reference </w:t>
      </w:r>
      <w:r w:rsidR="00565C24" w:rsidRPr="0035645E">
        <w:rPr>
          <w:b/>
          <w:lang w:val="en-US" w:eastAsia="zh-CN"/>
        </w:rPr>
        <w:t>signal</w:t>
      </w:r>
      <w:r w:rsidR="007B7AE3" w:rsidRPr="0035645E">
        <w:rPr>
          <w:b/>
          <w:lang w:val="en-US" w:eastAsia="zh-CN"/>
        </w:rPr>
        <w:t>s</w:t>
      </w:r>
      <w:r w:rsidR="00565C24" w:rsidRPr="0035645E">
        <w:rPr>
          <w:b/>
          <w:lang w:val="en-US" w:eastAsia="zh-CN"/>
        </w:rPr>
        <w:t xml:space="preserve"> </w:t>
      </w:r>
      <w:r w:rsidR="007B7AE3" w:rsidRPr="0035645E">
        <w:rPr>
          <w:b/>
          <w:lang w:val="en-US" w:eastAsia="zh-CN"/>
        </w:rPr>
        <w:t>that can be used</w:t>
      </w:r>
      <w:r w:rsidR="00565C24" w:rsidRPr="0035645E">
        <w:rPr>
          <w:b/>
          <w:lang w:val="en-US" w:eastAsia="zh-CN"/>
        </w:rPr>
        <w:t xml:space="preserve"> to characterize</w:t>
      </w:r>
      <w:r w:rsidRPr="0035645E">
        <w:rPr>
          <w:b/>
          <w:lang w:val="en-US" w:eastAsia="zh-CN"/>
        </w:rPr>
        <w:t xml:space="preserve"> </w:t>
      </w:r>
      <w:r w:rsidRPr="005223F0">
        <w:rPr>
          <w:b/>
          <w:lang w:val="en-GB" w:eastAsia="zh-CN"/>
        </w:rPr>
        <w:t>the cell load distribution in the spatial domain</w:t>
      </w:r>
      <w:r w:rsidR="00F52A15">
        <w:rPr>
          <w:b/>
          <w:lang w:val="en-GB" w:eastAsia="zh-CN"/>
        </w:rPr>
        <w:t>, e.g</w:t>
      </w:r>
      <w:r w:rsidR="00431A85">
        <w:rPr>
          <w:b/>
          <w:lang w:val="en-GB" w:eastAsia="zh-CN"/>
        </w:rPr>
        <w:t>.</w:t>
      </w:r>
      <w:r w:rsidR="00F743E8" w:rsidRPr="0035645E">
        <w:rPr>
          <w:b/>
          <w:lang w:val="en-US" w:eastAsia="zh-CN"/>
        </w:rPr>
        <w:t xml:space="preserve"> </w:t>
      </w:r>
      <w:r w:rsidRPr="0035645E">
        <w:rPr>
          <w:b/>
          <w:lang w:val="en-US" w:eastAsia="zh-CN"/>
        </w:rPr>
        <w:t>on a per SSB beam coverage area.</w:t>
      </w:r>
    </w:p>
    <w:p w14:paraId="649F6494" w14:textId="77777777" w:rsidR="00EC4155" w:rsidRPr="0035645E" w:rsidRDefault="00EC4155" w:rsidP="000C1010">
      <w:pPr>
        <w:rPr>
          <w:lang w:val="en-US" w:eastAsia="zh-CN"/>
        </w:rPr>
      </w:pPr>
    </w:p>
    <w:p w14:paraId="491FE54F" w14:textId="61806CE2" w:rsidR="00AC6B5A" w:rsidRDefault="00F52A15" w:rsidP="00AC6B5A">
      <w:pPr>
        <w:pStyle w:val="Heading3"/>
      </w:pPr>
      <w:r>
        <w:t xml:space="preserve">Limitations </w:t>
      </w:r>
      <w:r w:rsidR="000619CF">
        <w:t>of cell-specific load information</w:t>
      </w:r>
    </w:p>
    <w:p w14:paraId="415941FA" w14:textId="7F7E9B43" w:rsidR="006F6619" w:rsidRPr="0035645E" w:rsidRDefault="006F6619" w:rsidP="00530A14">
      <w:pPr>
        <w:jc w:val="both"/>
        <w:rPr>
          <w:lang w:val="en-US" w:eastAsia="en-GB"/>
        </w:rPr>
      </w:pPr>
      <w:r w:rsidRPr="0035645E">
        <w:rPr>
          <w:lang w:val="en-US" w:eastAsia="en-GB"/>
        </w:rPr>
        <w:t xml:space="preserve">The TR 37.816 </w:t>
      </w:r>
      <w:r>
        <w:rPr>
          <w:lang w:eastAsia="en-GB"/>
        </w:rPr>
        <w:fldChar w:fldCharType="begin"/>
      </w:r>
      <w:r w:rsidRPr="0035645E">
        <w:rPr>
          <w:lang w:val="en-US" w:eastAsia="en-GB"/>
        </w:rPr>
        <w:instrText xml:space="preserve"> REF _Ref14094117 \r \h </w:instrText>
      </w:r>
      <w:r w:rsidR="00530A14" w:rsidRPr="00530A14">
        <w:rPr>
          <w:lang w:val="en-US" w:eastAsia="en-GB"/>
        </w:rPr>
        <w:instrText xml:space="preserve"> \* MERGEFORMAT </w:instrText>
      </w:r>
      <w:r>
        <w:rPr>
          <w:lang w:eastAsia="en-GB"/>
        </w:rPr>
      </w:r>
      <w:r>
        <w:rPr>
          <w:lang w:eastAsia="en-GB"/>
        </w:rPr>
        <w:fldChar w:fldCharType="separate"/>
      </w:r>
      <w:r w:rsidRPr="0035645E">
        <w:rPr>
          <w:lang w:val="en-US" w:eastAsia="en-GB"/>
        </w:rPr>
        <w:t>[1]</w:t>
      </w:r>
      <w:r>
        <w:rPr>
          <w:lang w:eastAsia="en-GB"/>
        </w:rPr>
        <w:fldChar w:fldCharType="end"/>
      </w:r>
      <w:r w:rsidRPr="0035645E">
        <w:rPr>
          <w:lang w:val="en-US" w:eastAsia="en-GB"/>
        </w:rPr>
        <w:t xml:space="preserve"> has concluded that </w:t>
      </w:r>
      <w:r w:rsidR="00F90C12" w:rsidRPr="0035645E">
        <w:rPr>
          <w:lang w:val="en-US" w:eastAsia="en-GB"/>
        </w:rPr>
        <w:t xml:space="preserve">for load sharing and load balancing in NR, </w:t>
      </w:r>
      <w:r w:rsidR="00B46CD1" w:rsidRPr="0035645E">
        <w:rPr>
          <w:lang w:val="en-US" w:eastAsia="en-GB"/>
        </w:rPr>
        <w:t xml:space="preserve">the reported information over X2, </w:t>
      </w:r>
      <w:proofErr w:type="spellStart"/>
      <w:r w:rsidR="00B46CD1" w:rsidRPr="0035645E">
        <w:rPr>
          <w:lang w:val="en-US" w:eastAsia="en-GB"/>
        </w:rPr>
        <w:t>Xn</w:t>
      </w:r>
      <w:proofErr w:type="spellEnd"/>
      <w:r w:rsidR="00B46CD1" w:rsidRPr="0035645E">
        <w:rPr>
          <w:lang w:val="en-US" w:eastAsia="en-GB"/>
        </w:rPr>
        <w:t xml:space="preserve"> and F1 should</w:t>
      </w:r>
      <w:r w:rsidR="00B1286B" w:rsidRPr="0035645E">
        <w:rPr>
          <w:lang w:val="en-US" w:eastAsia="en-GB"/>
        </w:rPr>
        <w:t xml:space="preserve"> </w:t>
      </w:r>
      <w:r w:rsidR="00C61928" w:rsidRPr="0035645E">
        <w:rPr>
          <w:lang w:val="en-US" w:eastAsia="en-GB"/>
        </w:rPr>
        <w:t>contain at least cell</w:t>
      </w:r>
      <w:r w:rsidR="00EC2530" w:rsidRPr="0035645E">
        <w:rPr>
          <w:lang w:val="en-US" w:eastAsia="en-GB"/>
        </w:rPr>
        <w:t xml:space="preserve">-specific </w:t>
      </w:r>
      <w:r w:rsidR="00C61928" w:rsidRPr="0035645E">
        <w:rPr>
          <w:lang w:val="en-US" w:eastAsia="en-GB"/>
        </w:rPr>
        <w:t>lo</w:t>
      </w:r>
      <w:r w:rsidR="00B21AD6" w:rsidRPr="0035645E">
        <w:rPr>
          <w:lang w:val="en-US" w:eastAsia="en-GB"/>
        </w:rPr>
        <w:t>a</w:t>
      </w:r>
      <w:r w:rsidR="00C61928" w:rsidRPr="0035645E">
        <w:rPr>
          <w:lang w:val="en-US" w:eastAsia="en-GB"/>
        </w:rPr>
        <w:t>d</w:t>
      </w:r>
      <w:r w:rsidR="00B21AD6" w:rsidRPr="0035645E">
        <w:rPr>
          <w:lang w:val="en-US" w:eastAsia="en-GB"/>
        </w:rPr>
        <w:t xml:space="preserve">.  </w:t>
      </w:r>
      <w:r w:rsidR="00B6070B" w:rsidRPr="0035645E">
        <w:rPr>
          <w:lang w:val="en-US" w:eastAsia="en-GB"/>
        </w:rPr>
        <w:t xml:space="preserve">Cell-specific load information, however, is unable to capture uneven load distribution </w:t>
      </w:r>
      <w:r w:rsidR="000C12DF" w:rsidRPr="0035645E">
        <w:rPr>
          <w:lang w:val="en-US" w:eastAsia="en-GB"/>
        </w:rPr>
        <w:t>within the cell area and can lead, by itself, to harmful mobility decisions.</w:t>
      </w:r>
      <w:r w:rsidR="00B6070B" w:rsidRPr="0035645E">
        <w:rPr>
          <w:lang w:val="en-US" w:eastAsia="en-GB"/>
        </w:rPr>
        <w:t xml:space="preserve"> </w:t>
      </w:r>
    </w:p>
    <w:p w14:paraId="426F6894" w14:textId="37174B9B" w:rsidR="006118CA" w:rsidRPr="0035645E" w:rsidRDefault="00D0384C" w:rsidP="00530A14">
      <w:pPr>
        <w:jc w:val="both"/>
        <w:rPr>
          <w:lang w:val="en-US" w:eastAsia="zh-CN"/>
        </w:rPr>
      </w:pPr>
      <w:r>
        <w:rPr>
          <w:lang w:eastAsia="zh-CN"/>
        </w:rPr>
        <w:fldChar w:fldCharType="begin"/>
      </w:r>
      <w:r w:rsidRPr="0035645E">
        <w:rPr>
          <w:lang w:val="en-US" w:eastAsia="zh-CN"/>
        </w:rPr>
        <w:instrText xml:space="preserve"> REF _Ref14187330 \h </w:instrText>
      </w:r>
      <w:r w:rsidR="00530A14" w:rsidRPr="00530A14">
        <w:rPr>
          <w:lang w:val="en-US" w:eastAsia="zh-CN"/>
        </w:rPr>
        <w:instrText xml:space="preserve"> \* MERGEFORMAT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 xml:space="preserve"> shows two examples </w:t>
      </w:r>
      <w:r w:rsidR="00FA48E3" w:rsidRPr="0035645E">
        <w:rPr>
          <w:lang w:val="en-US" w:eastAsia="zh-CN"/>
        </w:rPr>
        <w:t>where</w:t>
      </w:r>
      <w:r w:rsidR="00F52A15" w:rsidRPr="0035645E">
        <w:rPr>
          <w:lang w:val="en-US" w:eastAsia="zh-CN"/>
        </w:rPr>
        <w:t>in</w:t>
      </w:r>
      <w:r w:rsidR="00827A9A" w:rsidRPr="0035645E">
        <w:rPr>
          <w:lang w:val="en-US" w:eastAsia="zh-CN"/>
        </w:rPr>
        <w:t xml:space="preserve"> using only</w:t>
      </w:r>
      <w:r w:rsidRPr="0035645E">
        <w:rPr>
          <w:lang w:val="en-US" w:eastAsia="zh-CN"/>
        </w:rPr>
        <w:t xml:space="preserve"> cell-specific load information is not </w:t>
      </w:r>
      <w:r w:rsidR="003F7CA9" w:rsidRPr="0035645E">
        <w:rPr>
          <w:lang w:val="en-US" w:eastAsia="zh-CN"/>
        </w:rPr>
        <w:t>enough</w:t>
      </w:r>
      <w:r w:rsidRPr="0035645E">
        <w:rPr>
          <w:lang w:val="en-US" w:eastAsia="zh-CN"/>
        </w:rPr>
        <w:t xml:space="preserve"> for the correct </w:t>
      </w:r>
      <w:r w:rsidR="00AE14D8" w:rsidRPr="0035645E">
        <w:rPr>
          <w:lang w:val="en-US" w:eastAsia="zh-CN"/>
        </w:rPr>
        <w:t>operation</w:t>
      </w:r>
      <w:r w:rsidRPr="0035645E">
        <w:rPr>
          <w:lang w:val="en-US" w:eastAsia="zh-CN"/>
        </w:rPr>
        <w:t xml:space="preserve"> of the load management function.</w:t>
      </w:r>
      <w:r w:rsidR="00DD7DAD" w:rsidRPr="0035645E">
        <w:rPr>
          <w:lang w:val="en-US" w:eastAsia="zh-CN"/>
        </w:rPr>
        <w:t xml:space="preserve"> </w:t>
      </w:r>
      <w:r w:rsidR="00FD1253" w:rsidRPr="0035645E">
        <w:rPr>
          <w:lang w:val="en-US" w:eastAsia="zh-CN"/>
        </w:rPr>
        <w:t>B</w:t>
      </w:r>
      <w:r w:rsidR="008D7E2E" w:rsidRPr="0035645E">
        <w:rPr>
          <w:lang w:val="en-US" w:eastAsia="zh-CN"/>
        </w:rPr>
        <w:t>oth</w:t>
      </w:r>
      <w:r w:rsidR="00DD7DAD" w:rsidRPr="0035645E">
        <w:rPr>
          <w:lang w:val="en-US" w:eastAsia="zh-CN"/>
        </w:rPr>
        <w:t xml:space="preserve"> examples</w:t>
      </w:r>
      <w:r w:rsidR="00FD1253" w:rsidRPr="0035645E">
        <w:rPr>
          <w:lang w:val="en-US" w:eastAsia="zh-CN"/>
        </w:rPr>
        <w:t xml:space="preserve"> consider</w:t>
      </w:r>
      <w:r w:rsidR="00DD7DAD" w:rsidRPr="0035645E">
        <w:rPr>
          <w:lang w:val="en-US" w:eastAsia="zh-CN"/>
        </w:rPr>
        <w:t xml:space="preserve"> </w:t>
      </w:r>
      <w:r w:rsidR="00D915E6" w:rsidRPr="0035645E">
        <w:rPr>
          <w:lang w:val="en-US" w:eastAsia="zh-CN"/>
        </w:rPr>
        <w:t>a</w:t>
      </w:r>
      <w:r w:rsidR="00FA7A28" w:rsidRPr="0035645E">
        <w:rPr>
          <w:lang w:val="en-US" w:eastAsia="zh-CN"/>
        </w:rPr>
        <w:t xml:space="preserve"> service cell </w:t>
      </w:r>
      <w:r w:rsidR="00DD7DAD" w:rsidRPr="0035645E">
        <w:rPr>
          <w:lang w:val="en-US" w:eastAsia="zh-CN"/>
        </w:rPr>
        <w:t>highly loaded at least in some local area</w:t>
      </w:r>
      <w:r w:rsidR="007D73A1" w:rsidRPr="0035645E">
        <w:rPr>
          <w:lang w:val="en-US" w:eastAsia="zh-CN"/>
        </w:rPr>
        <w:t>, here</w:t>
      </w:r>
      <w:r w:rsidR="00DD7DAD" w:rsidRPr="0035645E">
        <w:rPr>
          <w:lang w:val="en-US" w:eastAsia="zh-CN"/>
        </w:rPr>
        <w:t xml:space="preserve"> defined by the coverage area of different SSB beams. A target UE in the loaded area may </w:t>
      </w:r>
      <w:r w:rsidR="00A2611E" w:rsidRPr="0035645E">
        <w:rPr>
          <w:lang w:val="en-US" w:eastAsia="zh-CN"/>
        </w:rPr>
        <w:t xml:space="preserve">detect and report </w:t>
      </w:r>
      <w:r w:rsidR="00DD7DAD" w:rsidRPr="0035645E">
        <w:rPr>
          <w:lang w:val="en-US" w:eastAsia="zh-CN"/>
        </w:rPr>
        <w:t xml:space="preserve">a </w:t>
      </w:r>
      <w:r w:rsidR="008D7E2E" w:rsidRPr="0035645E">
        <w:rPr>
          <w:lang w:val="en-US" w:eastAsia="zh-CN"/>
        </w:rPr>
        <w:t>neighbor</w:t>
      </w:r>
      <w:r w:rsidR="00DD7DAD" w:rsidRPr="0035645E">
        <w:rPr>
          <w:lang w:val="en-US" w:eastAsia="zh-CN"/>
        </w:rPr>
        <w:t xml:space="preserve"> </w:t>
      </w:r>
      <w:r w:rsidR="00FA7A28" w:rsidRPr="0035645E">
        <w:rPr>
          <w:lang w:val="en-US" w:eastAsia="zh-CN"/>
        </w:rPr>
        <w:t xml:space="preserve">target </w:t>
      </w:r>
      <w:r w:rsidR="00DD7DAD" w:rsidRPr="0035645E">
        <w:rPr>
          <w:lang w:val="en-US" w:eastAsia="zh-CN"/>
        </w:rPr>
        <w:t>cel</w:t>
      </w:r>
      <w:r w:rsidR="00FA7A28" w:rsidRPr="0035645E">
        <w:rPr>
          <w:lang w:val="en-US" w:eastAsia="zh-CN"/>
        </w:rPr>
        <w:t>l</w:t>
      </w:r>
      <w:r w:rsidR="00DD7DAD" w:rsidRPr="0035645E">
        <w:rPr>
          <w:lang w:val="en-US" w:eastAsia="zh-CN"/>
        </w:rPr>
        <w:t xml:space="preserve"> </w:t>
      </w:r>
      <w:r w:rsidR="007935CC" w:rsidRPr="0035645E">
        <w:rPr>
          <w:lang w:val="en-US" w:eastAsia="zh-CN"/>
        </w:rPr>
        <w:t xml:space="preserve">as a good mobility target. </w:t>
      </w:r>
      <w:r w:rsidR="007E31F7" w:rsidRPr="0035645E">
        <w:rPr>
          <w:lang w:val="en-US" w:eastAsia="zh-CN"/>
        </w:rPr>
        <w:t>The UE reports measurements per SSB, i.e. per SSB beam area</w:t>
      </w:r>
      <w:r w:rsidR="00DD7DAD" w:rsidRPr="0035645E">
        <w:rPr>
          <w:lang w:val="en-US" w:eastAsia="zh-CN"/>
        </w:rPr>
        <w:t>.</w:t>
      </w:r>
      <w:r w:rsidR="00C17475" w:rsidRPr="0035645E">
        <w:rPr>
          <w:lang w:val="en-US" w:eastAsia="zh-CN"/>
        </w:rPr>
        <w:t xml:space="preserve"> </w:t>
      </w:r>
      <w:r w:rsidR="00172067" w:rsidRPr="0035645E">
        <w:rPr>
          <w:lang w:val="en-US" w:eastAsia="zh-CN"/>
        </w:rPr>
        <w:t xml:space="preserve">Given </w:t>
      </w:r>
      <w:r w:rsidR="005D7BCA" w:rsidRPr="0035645E">
        <w:rPr>
          <w:lang w:val="en-US" w:eastAsia="zh-CN"/>
        </w:rPr>
        <w:t>its</w:t>
      </w:r>
      <w:r w:rsidR="00172067" w:rsidRPr="0035645E">
        <w:rPr>
          <w:lang w:val="en-US" w:eastAsia="zh-CN"/>
        </w:rPr>
        <w:t xml:space="preserve"> loaded status</w:t>
      </w:r>
      <w:r w:rsidR="005D7BCA" w:rsidRPr="0035645E">
        <w:rPr>
          <w:lang w:val="en-US" w:eastAsia="zh-CN"/>
        </w:rPr>
        <w:t>,</w:t>
      </w:r>
      <w:r w:rsidR="00172067" w:rsidRPr="0035645E">
        <w:rPr>
          <w:lang w:val="en-US" w:eastAsia="zh-CN"/>
        </w:rPr>
        <w:t xml:space="preserve"> the serving cell</w:t>
      </w:r>
      <w:r w:rsidR="00C17475" w:rsidRPr="0035645E">
        <w:rPr>
          <w:lang w:val="en-US" w:eastAsia="zh-CN"/>
        </w:rPr>
        <w:t xml:space="preserve"> can request resource status </w:t>
      </w:r>
      <w:r w:rsidR="00484A2D" w:rsidRPr="0035645E">
        <w:rPr>
          <w:lang w:val="en-US" w:eastAsia="zh-CN"/>
        </w:rPr>
        <w:t>report</w:t>
      </w:r>
      <w:r w:rsidR="00C17475" w:rsidRPr="0035645E">
        <w:rPr>
          <w:lang w:val="en-US" w:eastAsia="zh-CN"/>
        </w:rPr>
        <w:t xml:space="preserve"> to the target cell.</w:t>
      </w:r>
    </w:p>
    <w:p w14:paraId="6B46F66C" w14:textId="3CF93DF4" w:rsidR="00825A0F" w:rsidRPr="0035645E" w:rsidRDefault="00825A0F" w:rsidP="00530A14">
      <w:pPr>
        <w:jc w:val="both"/>
        <w:rPr>
          <w:lang w:val="en-US" w:eastAsia="zh-CN"/>
        </w:rPr>
      </w:pPr>
      <w:r w:rsidRPr="0035645E">
        <w:rPr>
          <w:lang w:val="en-US" w:eastAsia="zh-CN"/>
        </w:rPr>
        <w:t xml:space="preserve">In the example in </w:t>
      </w:r>
      <w:r>
        <w:rPr>
          <w:lang w:eastAsia="zh-CN"/>
        </w:rPr>
        <w:fldChar w:fldCharType="begin"/>
      </w:r>
      <w:r w:rsidRPr="0035645E">
        <w:rPr>
          <w:lang w:val="en-US" w:eastAsia="zh-CN"/>
        </w:rPr>
        <w:instrText xml:space="preserve"> REF _Ref14187330 \h </w:instrText>
      </w:r>
      <w:r w:rsidR="00530A14" w:rsidRPr="00530A14">
        <w:rPr>
          <w:lang w:val="en-US" w:eastAsia="zh-CN"/>
        </w:rPr>
        <w:instrText xml:space="preserve"> \* MERGEFORMAT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 xml:space="preserve">(a), the target cell reports high cell load, although in the SSB beam coverage area where the UE is moving, the target cell has enough available capacity </w:t>
      </w:r>
      <w:r w:rsidR="003A4645" w:rsidRPr="0035645E">
        <w:rPr>
          <w:lang w:val="en-US" w:eastAsia="zh-CN"/>
        </w:rPr>
        <w:t>for</w:t>
      </w:r>
      <w:r w:rsidRPr="0035645E">
        <w:rPr>
          <w:lang w:val="en-US" w:eastAsia="zh-CN"/>
        </w:rPr>
        <w:t xml:space="preserve"> the UE thanks to its spatial multiplexing capability. The serving node is then led to believe that the target cell is </w:t>
      </w:r>
      <w:r w:rsidR="003A4645" w:rsidRPr="0035645E">
        <w:rPr>
          <w:lang w:val="en-US" w:eastAsia="zh-CN"/>
        </w:rPr>
        <w:t>also high</w:t>
      </w:r>
      <w:r w:rsidR="008F2FDB">
        <w:rPr>
          <w:lang w:val="en-US" w:eastAsia="zh-CN"/>
        </w:rPr>
        <w:t>ly</w:t>
      </w:r>
      <w:r w:rsidR="003A4645" w:rsidRPr="0035645E">
        <w:rPr>
          <w:lang w:val="en-US" w:eastAsia="zh-CN"/>
        </w:rPr>
        <w:t xml:space="preserve"> load</w:t>
      </w:r>
      <w:r w:rsidR="008F2FDB">
        <w:rPr>
          <w:lang w:val="en-US" w:eastAsia="zh-CN"/>
        </w:rPr>
        <w:t>ed</w:t>
      </w:r>
      <w:r w:rsidRPr="0035645E">
        <w:rPr>
          <w:lang w:val="en-US" w:eastAsia="zh-CN"/>
        </w:rPr>
        <w:t xml:space="preserve"> and chooses not to handover the UE to the target cell. </w:t>
      </w:r>
    </w:p>
    <w:p w14:paraId="1C687649" w14:textId="3AD46A38" w:rsidR="00825A0F" w:rsidRPr="0035645E" w:rsidRDefault="00825A0F" w:rsidP="00530A14">
      <w:pPr>
        <w:jc w:val="both"/>
        <w:rPr>
          <w:lang w:val="en-US" w:eastAsia="zh-CN"/>
        </w:rPr>
      </w:pPr>
      <w:r w:rsidRPr="0035645E">
        <w:rPr>
          <w:lang w:val="en-US" w:eastAsia="zh-CN"/>
        </w:rPr>
        <w:t xml:space="preserve">In the example in </w:t>
      </w:r>
      <w:r>
        <w:rPr>
          <w:lang w:eastAsia="zh-CN"/>
        </w:rPr>
        <w:fldChar w:fldCharType="begin"/>
      </w:r>
      <w:r w:rsidRPr="0035645E">
        <w:rPr>
          <w:lang w:val="en-US" w:eastAsia="zh-CN"/>
        </w:rPr>
        <w:instrText xml:space="preserve"> REF _Ref14187330 \h </w:instrText>
      </w:r>
      <w:r w:rsidR="00530A14" w:rsidRPr="00530A14">
        <w:rPr>
          <w:lang w:val="en-US" w:eastAsia="zh-CN"/>
        </w:rPr>
        <w:instrText xml:space="preserve"> \* MERGEFORMAT </w:instrText>
      </w:r>
      <w:r>
        <w:rPr>
          <w:lang w:eastAsia="zh-CN"/>
        </w:rPr>
      </w:r>
      <w:r>
        <w:rPr>
          <w:lang w:eastAsia="zh-CN"/>
        </w:rPr>
        <w:fldChar w:fldCharType="separate"/>
      </w:r>
      <w:r w:rsidRPr="0035645E">
        <w:rPr>
          <w:lang w:val="en-US"/>
        </w:rPr>
        <w:t xml:space="preserve">Figure </w:t>
      </w:r>
      <w:r w:rsidRPr="0035645E">
        <w:rPr>
          <w:noProof/>
          <w:lang w:val="en-US"/>
        </w:rPr>
        <w:t>1</w:t>
      </w:r>
      <w:r>
        <w:rPr>
          <w:lang w:eastAsia="zh-CN"/>
        </w:rPr>
        <w:fldChar w:fldCharType="end"/>
      </w:r>
      <w:r w:rsidRPr="0035645E">
        <w:rPr>
          <w:lang w:val="en-US" w:eastAsia="zh-CN"/>
        </w:rPr>
        <w:t>(b), the target cell reports medium-low cell load. While cell-wise the reported load is not high, the load is all concentrated in the SSB beams coverage area where the UE is moving. The loaded serving cell is thus led to believe that the target cell has enough</w:t>
      </w:r>
      <w:r w:rsidR="004015C1" w:rsidRPr="0035645E">
        <w:rPr>
          <w:lang w:val="en-US" w:eastAsia="zh-CN"/>
        </w:rPr>
        <w:t xml:space="preserve"> available</w:t>
      </w:r>
      <w:r w:rsidRPr="0035645E">
        <w:rPr>
          <w:lang w:val="en-US" w:eastAsia="zh-CN"/>
        </w:rPr>
        <w:t xml:space="preserve"> capacity </w:t>
      </w:r>
      <w:r w:rsidR="003A4645" w:rsidRPr="0035645E">
        <w:rPr>
          <w:lang w:val="en-US" w:eastAsia="zh-CN"/>
        </w:rPr>
        <w:t>for</w:t>
      </w:r>
      <w:r w:rsidRPr="0035645E">
        <w:rPr>
          <w:lang w:val="en-US" w:eastAsia="zh-CN"/>
        </w:rPr>
        <w:t xml:space="preserve"> the target UE and initiates a handover request, whilst it should have kept the target UE. </w:t>
      </w:r>
    </w:p>
    <w:p w14:paraId="6E8E9B78" w14:textId="77777777" w:rsidR="00825A0F" w:rsidRPr="0035645E" w:rsidRDefault="00825A0F" w:rsidP="00530A14">
      <w:pPr>
        <w:pStyle w:val="ListParagraph"/>
        <w:numPr>
          <w:ilvl w:val="0"/>
          <w:numId w:val="39"/>
        </w:numPr>
        <w:ind w:left="1843" w:hanging="1843"/>
        <w:jc w:val="both"/>
        <w:rPr>
          <w:b/>
          <w:lang w:val="en-US" w:eastAsia="zh-CN"/>
        </w:rPr>
      </w:pPr>
      <w:r w:rsidRPr="0035645E">
        <w:rPr>
          <w:b/>
          <w:lang w:val="en-US" w:eastAsia="zh-CN"/>
        </w:rPr>
        <w:t>Cell-specific load information is not enough for the correct operation of the load management function in NR.</w:t>
      </w:r>
    </w:p>
    <w:p w14:paraId="3B5C9EDA" w14:textId="77777777" w:rsidR="00825A0F" w:rsidRPr="0035645E" w:rsidRDefault="00825A0F" w:rsidP="002D3AC9">
      <w:pPr>
        <w:rPr>
          <w:lang w:val="en-US"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18CA" w:rsidRPr="00013B63" w14:paraId="3A783C86" w14:textId="77777777" w:rsidTr="00C82817">
        <w:tc>
          <w:tcPr>
            <w:tcW w:w="4814" w:type="dxa"/>
          </w:tcPr>
          <w:p w14:paraId="47EB56A6" w14:textId="77777777" w:rsidR="006118CA" w:rsidRDefault="006118CA" w:rsidP="00AA5589">
            <w:pPr>
              <w:jc w:val="center"/>
              <w:rPr>
                <w:lang w:eastAsia="zh-CN"/>
              </w:rPr>
            </w:pPr>
            <w:r>
              <w:rPr>
                <w:noProof/>
              </w:rPr>
              <w:lastRenderedPageBreak/>
              <w:drawing>
                <wp:inline distT="0" distB="0" distL="0" distR="0" wp14:anchorId="4E2A241B" wp14:editId="59EE0222">
                  <wp:extent cx="2186276" cy="2509994"/>
                  <wp:effectExtent l="0" t="0" r="5080" b="508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12152" cy="2539702"/>
                          </a:xfrm>
                          <a:prstGeom prst="rect">
                            <a:avLst/>
                          </a:prstGeom>
                          <a:noFill/>
                        </pic:spPr>
                      </pic:pic>
                    </a:graphicData>
                  </a:graphic>
                </wp:inline>
              </w:drawing>
            </w:r>
          </w:p>
          <w:p w14:paraId="58270D75" w14:textId="4AECC453" w:rsidR="00651B54" w:rsidRPr="0035645E" w:rsidRDefault="00651B54" w:rsidP="00530A14">
            <w:pPr>
              <w:ind w:left="316" w:hanging="284"/>
              <w:jc w:val="both"/>
              <w:rPr>
                <w:b/>
                <w:lang w:val="en-US" w:eastAsia="zh-CN"/>
              </w:rPr>
            </w:pPr>
            <w:r w:rsidRPr="0035645E">
              <w:rPr>
                <w:b/>
                <w:lang w:val="en-US" w:eastAsia="zh-CN"/>
              </w:rPr>
              <w:t xml:space="preserve">(a) Fail to move target UE </w:t>
            </w:r>
            <w:r w:rsidR="004015C1" w:rsidRPr="0035645E">
              <w:rPr>
                <w:b/>
                <w:lang w:val="en-US" w:eastAsia="zh-CN"/>
              </w:rPr>
              <w:t>regardless the neighboring beam has enough available capacity (</w:t>
            </w:r>
            <w:r w:rsidRPr="0035645E">
              <w:rPr>
                <w:b/>
                <w:lang w:val="en-US" w:eastAsia="zh-CN"/>
              </w:rPr>
              <w:t>due to high cell load report</w:t>
            </w:r>
            <w:r w:rsidR="004015C1" w:rsidRPr="0035645E">
              <w:rPr>
                <w:b/>
                <w:lang w:val="en-US" w:eastAsia="zh-CN"/>
              </w:rPr>
              <w:t>)</w:t>
            </w:r>
            <w:r w:rsidRPr="0035645E">
              <w:rPr>
                <w:b/>
                <w:lang w:val="en-US" w:eastAsia="zh-CN"/>
              </w:rPr>
              <w:t>.</w:t>
            </w:r>
          </w:p>
        </w:tc>
        <w:tc>
          <w:tcPr>
            <w:tcW w:w="4815" w:type="dxa"/>
          </w:tcPr>
          <w:p w14:paraId="436E704C" w14:textId="77777777" w:rsidR="006118CA" w:rsidRDefault="00200656" w:rsidP="00AA5589">
            <w:pPr>
              <w:jc w:val="center"/>
              <w:rPr>
                <w:lang w:eastAsia="zh-CN"/>
              </w:rPr>
            </w:pPr>
            <w:r>
              <w:rPr>
                <w:noProof/>
              </w:rPr>
              <w:drawing>
                <wp:inline distT="0" distB="0" distL="0" distR="0" wp14:anchorId="65C93404" wp14:editId="6D66289D">
                  <wp:extent cx="2270760" cy="2527639"/>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9315" cy="2537161"/>
                          </a:xfrm>
                          <a:prstGeom prst="rect">
                            <a:avLst/>
                          </a:prstGeom>
                          <a:noFill/>
                        </pic:spPr>
                      </pic:pic>
                    </a:graphicData>
                  </a:graphic>
                </wp:inline>
              </w:drawing>
            </w:r>
          </w:p>
          <w:p w14:paraId="6D3C3989" w14:textId="4EAE6126" w:rsidR="00200656" w:rsidRPr="0035645E" w:rsidRDefault="00200656" w:rsidP="00530A14">
            <w:pPr>
              <w:keepNext/>
              <w:ind w:left="315" w:hanging="283"/>
              <w:jc w:val="both"/>
              <w:rPr>
                <w:b/>
                <w:lang w:val="en-US" w:eastAsia="zh-CN"/>
              </w:rPr>
            </w:pPr>
            <w:r w:rsidRPr="0035645E">
              <w:rPr>
                <w:b/>
                <w:lang w:val="en-US" w:eastAsia="zh-CN"/>
              </w:rPr>
              <w:t xml:space="preserve">(b) Fail to </w:t>
            </w:r>
            <w:r w:rsidR="00B67EE8" w:rsidRPr="0035645E">
              <w:rPr>
                <w:b/>
                <w:lang w:val="en-US" w:eastAsia="zh-CN"/>
              </w:rPr>
              <w:t xml:space="preserve">keep target UE </w:t>
            </w:r>
            <w:r w:rsidR="004015C1" w:rsidRPr="0035645E">
              <w:rPr>
                <w:b/>
                <w:lang w:val="en-US" w:eastAsia="zh-CN"/>
              </w:rPr>
              <w:t>regardless the neighboring beam has NOT enough available capacity (</w:t>
            </w:r>
            <w:r w:rsidR="00B67EE8" w:rsidRPr="0035645E">
              <w:rPr>
                <w:b/>
                <w:lang w:val="en-US" w:eastAsia="zh-CN"/>
              </w:rPr>
              <w:t xml:space="preserve">due to medium-low </w:t>
            </w:r>
            <w:r w:rsidR="004015C1" w:rsidRPr="0035645E">
              <w:rPr>
                <w:b/>
                <w:lang w:val="en-US" w:eastAsia="zh-CN"/>
              </w:rPr>
              <w:t xml:space="preserve">cell </w:t>
            </w:r>
            <w:r w:rsidR="00B67EE8" w:rsidRPr="0035645E">
              <w:rPr>
                <w:b/>
                <w:lang w:val="en-US" w:eastAsia="zh-CN"/>
              </w:rPr>
              <w:t>load report</w:t>
            </w:r>
            <w:r w:rsidR="004015C1" w:rsidRPr="0035645E">
              <w:rPr>
                <w:b/>
                <w:lang w:val="en-US" w:eastAsia="zh-CN"/>
              </w:rPr>
              <w:t>)</w:t>
            </w:r>
          </w:p>
        </w:tc>
      </w:tr>
    </w:tbl>
    <w:p w14:paraId="2BDD56D6" w14:textId="64BEB9B8" w:rsidR="006118CA" w:rsidRPr="0035645E" w:rsidRDefault="002E753D" w:rsidP="002E753D">
      <w:pPr>
        <w:pStyle w:val="Caption"/>
        <w:rPr>
          <w:lang w:val="en-US" w:eastAsia="zh-CN"/>
        </w:rPr>
      </w:pPr>
      <w:bookmarkStart w:id="3" w:name="_Ref14187330"/>
      <w:r w:rsidRPr="0035645E">
        <w:rPr>
          <w:lang w:val="en-US"/>
        </w:rPr>
        <w:t xml:space="preserve">Figure </w:t>
      </w:r>
      <w:r>
        <w:fldChar w:fldCharType="begin"/>
      </w:r>
      <w:r w:rsidRPr="0035645E">
        <w:rPr>
          <w:lang w:val="en-US"/>
        </w:rPr>
        <w:instrText xml:space="preserve"> SEQ Figure \* ARABIC </w:instrText>
      </w:r>
      <w:r>
        <w:fldChar w:fldCharType="separate"/>
      </w:r>
      <w:r w:rsidR="00FB43BC">
        <w:rPr>
          <w:noProof/>
          <w:lang w:val="en-US"/>
        </w:rPr>
        <w:t>1</w:t>
      </w:r>
      <w:r>
        <w:fldChar w:fldCharType="end"/>
      </w:r>
      <w:bookmarkEnd w:id="3"/>
      <w:r w:rsidRPr="0035645E">
        <w:rPr>
          <w:lang w:val="en-US"/>
        </w:rPr>
        <w:t>: Examples where</w:t>
      </w:r>
      <w:r w:rsidR="00CC3B25">
        <w:rPr>
          <w:lang w:val="en-US"/>
        </w:rPr>
        <w:t xml:space="preserve"> using only</w:t>
      </w:r>
      <w:r w:rsidRPr="0035645E">
        <w:rPr>
          <w:lang w:val="en-US"/>
        </w:rPr>
        <w:t xml:space="preserve"> cell-specific load information </w:t>
      </w:r>
      <w:r w:rsidR="006A1E08" w:rsidRPr="0035645E">
        <w:rPr>
          <w:lang w:val="en-US"/>
        </w:rPr>
        <w:t>may lead to wrong mobility decisions.</w:t>
      </w:r>
    </w:p>
    <w:p w14:paraId="44E233C5" w14:textId="285A7AEA" w:rsidR="006A1E08" w:rsidRPr="0035645E" w:rsidRDefault="006A1E08" w:rsidP="002D3AC9">
      <w:pPr>
        <w:rPr>
          <w:lang w:val="en-US" w:eastAsia="zh-CN"/>
        </w:rPr>
      </w:pPr>
    </w:p>
    <w:p w14:paraId="1055D49D" w14:textId="253FF0A1" w:rsidR="0026752B" w:rsidRDefault="00992864" w:rsidP="00530A14">
      <w:pPr>
        <w:jc w:val="both"/>
        <w:rPr>
          <w:lang w:val="en-US" w:eastAsia="zh-CN"/>
        </w:rPr>
      </w:pPr>
      <w:r w:rsidRPr="0035645E">
        <w:rPr>
          <w:lang w:val="en-US" w:eastAsia="zh-CN"/>
        </w:rPr>
        <w:t xml:space="preserve">Therefore, introducing in NR </w:t>
      </w:r>
      <w:r w:rsidR="00FD1CA5" w:rsidRPr="0035645E">
        <w:rPr>
          <w:lang w:val="en-US" w:eastAsia="en-GB"/>
        </w:rPr>
        <w:t>beam level load indication, e.g. on a per</w:t>
      </w:r>
      <w:r w:rsidR="00FD1CA5" w:rsidRPr="0035645E">
        <w:rPr>
          <w:lang w:val="en-US" w:eastAsia="zh-CN"/>
        </w:rPr>
        <w:t xml:space="preserve"> </w:t>
      </w:r>
      <w:r w:rsidRPr="0035645E">
        <w:rPr>
          <w:lang w:val="en-US" w:eastAsia="zh-CN"/>
        </w:rPr>
        <w:t>SSB beam</w:t>
      </w:r>
      <w:r w:rsidR="00451DDB" w:rsidRPr="0035645E">
        <w:rPr>
          <w:lang w:val="en-US" w:eastAsia="zh-CN"/>
        </w:rPr>
        <w:t xml:space="preserve"> </w:t>
      </w:r>
      <w:r w:rsidR="00FD1CA5" w:rsidRPr="0035645E">
        <w:rPr>
          <w:lang w:val="en-US" w:eastAsia="zh-CN"/>
        </w:rPr>
        <w:t>level</w:t>
      </w:r>
      <w:r w:rsidRPr="0035645E">
        <w:rPr>
          <w:lang w:val="en-US" w:eastAsia="zh-CN"/>
        </w:rPr>
        <w:t>, as opposed to only cell-specific, can be beneficial to enhance</w:t>
      </w:r>
      <w:r w:rsidR="00E521F0" w:rsidRPr="0035645E">
        <w:rPr>
          <w:lang w:val="en-US" w:eastAsia="zh-CN"/>
        </w:rPr>
        <w:t xml:space="preserve"> the</w:t>
      </w:r>
      <w:r w:rsidRPr="0035645E">
        <w:rPr>
          <w:lang w:val="en-US" w:eastAsia="zh-CN"/>
        </w:rPr>
        <w:t xml:space="preserve"> mobility load balance </w:t>
      </w:r>
      <w:r w:rsidR="00E521F0" w:rsidRPr="0035645E">
        <w:rPr>
          <w:lang w:val="en-US" w:eastAsia="zh-CN"/>
        </w:rPr>
        <w:t>functionality</w:t>
      </w:r>
      <w:r w:rsidRPr="0035645E">
        <w:rPr>
          <w:lang w:val="en-US" w:eastAsia="zh-CN"/>
        </w:rPr>
        <w:t>.</w:t>
      </w:r>
      <w:r w:rsidR="00E521F0" w:rsidRPr="0035645E">
        <w:rPr>
          <w:lang w:val="en-US" w:eastAsia="zh-CN"/>
        </w:rPr>
        <w:t xml:space="preserve"> In the example in </w:t>
      </w:r>
      <w:r w:rsidR="00E521F0">
        <w:rPr>
          <w:lang w:eastAsia="zh-CN"/>
        </w:rPr>
        <w:fldChar w:fldCharType="begin"/>
      </w:r>
      <w:r w:rsidR="00E521F0" w:rsidRPr="0035645E">
        <w:rPr>
          <w:lang w:val="en-US" w:eastAsia="zh-CN"/>
        </w:rPr>
        <w:instrText xml:space="preserve"> REF _Ref14187330 \h </w:instrText>
      </w:r>
      <w:r w:rsidR="00530A14" w:rsidRPr="00530A14">
        <w:rPr>
          <w:lang w:val="en-US" w:eastAsia="zh-CN"/>
        </w:rPr>
        <w:instrText xml:space="preserve"> \* MERGEFORMAT </w:instrText>
      </w:r>
      <w:r w:rsidR="00E521F0">
        <w:rPr>
          <w:lang w:eastAsia="zh-CN"/>
        </w:rPr>
      </w:r>
      <w:r w:rsidR="00E521F0">
        <w:rPr>
          <w:lang w:eastAsia="zh-CN"/>
        </w:rPr>
        <w:fldChar w:fldCharType="separate"/>
      </w:r>
      <w:r w:rsidR="00E521F0" w:rsidRPr="0035645E">
        <w:rPr>
          <w:lang w:val="en-US"/>
        </w:rPr>
        <w:t xml:space="preserve">Figure </w:t>
      </w:r>
      <w:r w:rsidR="00E521F0" w:rsidRPr="0035645E">
        <w:rPr>
          <w:noProof/>
          <w:lang w:val="en-US"/>
        </w:rPr>
        <w:t>1</w:t>
      </w:r>
      <w:r w:rsidR="00E521F0">
        <w:rPr>
          <w:lang w:eastAsia="zh-CN"/>
        </w:rPr>
        <w:fldChar w:fldCharType="end"/>
      </w:r>
      <w:r w:rsidR="00E521F0" w:rsidRPr="0035645E">
        <w:rPr>
          <w:lang w:val="en-US" w:eastAsia="zh-CN"/>
        </w:rPr>
        <w:t xml:space="preserve">(a), </w:t>
      </w:r>
      <w:r w:rsidR="00345DB9" w:rsidRPr="0035645E">
        <w:rPr>
          <w:lang w:val="en-US" w:eastAsia="zh-CN"/>
        </w:rPr>
        <w:t xml:space="preserve">using beam level load information, </w:t>
      </w:r>
      <w:r w:rsidR="00E521F0" w:rsidRPr="0035645E">
        <w:rPr>
          <w:lang w:val="en-US" w:eastAsia="zh-CN"/>
        </w:rPr>
        <w:t xml:space="preserve">the serving cell </w:t>
      </w:r>
      <w:r w:rsidR="009669AB" w:rsidRPr="0035645E">
        <w:rPr>
          <w:lang w:val="en-US" w:eastAsia="zh-CN"/>
        </w:rPr>
        <w:t>would be aware that in the beam coverage area where the UE is moving, the target cell has enough available capacity to accept the UE, and would therefore be able to correctly initiate a handover request</w:t>
      </w:r>
      <w:r w:rsidR="00A34BFE" w:rsidRPr="0035645E">
        <w:rPr>
          <w:lang w:val="en-US" w:eastAsia="zh-CN"/>
        </w:rPr>
        <w:t xml:space="preserve">. On the other hand, in the example in </w:t>
      </w:r>
      <w:r w:rsidR="00A34BFE">
        <w:rPr>
          <w:lang w:eastAsia="zh-CN"/>
        </w:rPr>
        <w:fldChar w:fldCharType="begin"/>
      </w:r>
      <w:r w:rsidR="00A34BFE" w:rsidRPr="0035645E">
        <w:rPr>
          <w:lang w:val="en-US" w:eastAsia="zh-CN"/>
        </w:rPr>
        <w:instrText xml:space="preserve"> REF _Ref14187330 \h </w:instrText>
      </w:r>
      <w:r w:rsidR="00530A14" w:rsidRPr="00530A14">
        <w:rPr>
          <w:lang w:val="en-US" w:eastAsia="zh-CN"/>
        </w:rPr>
        <w:instrText xml:space="preserve"> \* MERGEFORMAT </w:instrText>
      </w:r>
      <w:r w:rsidR="00A34BFE">
        <w:rPr>
          <w:lang w:eastAsia="zh-CN"/>
        </w:rPr>
      </w:r>
      <w:r w:rsidR="00A34BFE">
        <w:rPr>
          <w:lang w:eastAsia="zh-CN"/>
        </w:rPr>
        <w:fldChar w:fldCharType="separate"/>
      </w:r>
      <w:r w:rsidR="00A34BFE" w:rsidRPr="0035645E">
        <w:rPr>
          <w:lang w:val="en-US"/>
        </w:rPr>
        <w:t xml:space="preserve">Figure </w:t>
      </w:r>
      <w:r w:rsidR="00A34BFE" w:rsidRPr="0035645E">
        <w:rPr>
          <w:noProof/>
          <w:lang w:val="en-US"/>
        </w:rPr>
        <w:t>1</w:t>
      </w:r>
      <w:r w:rsidR="00A34BFE">
        <w:rPr>
          <w:lang w:eastAsia="zh-CN"/>
        </w:rPr>
        <w:fldChar w:fldCharType="end"/>
      </w:r>
      <w:r w:rsidR="00A34BFE" w:rsidRPr="0035645E">
        <w:rPr>
          <w:lang w:val="en-US" w:eastAsia="zh-CN"/>
        </w:rPr>
        <w:t xml:space="preserve">(b), using beam level load information, the serving cell would be aware that in the beam coverage area where the UE is moving, the target cell does not have enough available capacity to accept the UE, and would therefore avoid to initiate a handover request which would be likely to lead to suboptimal performance. </w:t>
      </w:r>
    </w:p>
    <w:p w14:paraId="2C4A0FF2" w14:textId="605D2E84" w:rsidR="00DF1846" w:rsidRDefault="00DF1846" w:rsidP="00DF1846">
      <w:pPr>
        <w:jc w:val="both"/>
        <w:rPr>
          <w:lang w:val="en-US" w:eastAsia="zh-CN"/>
        </w:rPr>
      </w:pPr>
      <w:r>
        <w:rPr>
          <w:lang w:val="en-US" w:eastAsia="zh-CN"/>
        </w:rPr>
        <w:t xml:space="preserve">Another example, illustrated in </w:t>
      </w:r>
      <w:r>
        <w:rPr>
          <w:lang w:val="en-US" w:eastAsia="zh-CN"/>
        </w:rPr>
        <w:fldChar w:fldCharType="begin"/>
      </w:r>
      <w:r>
        <w:rPr>
          <w:lang w:val="en-US" w:eastAsia="zh-CN"/>
        </w:rPr>
        <w:instrText xml:space="preserve"> REF _Ref19698897 \h </w:instrText>
      </w:r>
      <w:r>
        <w:rPr>
          <w:lang w:val="en-US" w:eastAsia="zh-CN"/>
        </w:rPr>
      </w:r>
      <w:r>
        <w:rPr>
          <w:lang w:val="en-US" w:eastAsia="zh-CN"/>
        </w:rPr>
        <w:fldChar w:fldCharType="separate"/>
      </w:r>
      <w:r w:rsidRPr="00AA5589">
        <w:rPr>
          <w:lang w:val="en-US"/>
        </w:rPr>
        <w:t xml:space="preserve">Figure </w:t>
      </w:r>
      <w:r w:rsidRPr="00AA5589">
        <w:rPr>
          <w:noProof/>
          <w:lang w:val="en-US"/>
        </w:rPr>
        <w:t>2</w:t>
      </w:r>
      <w:r>
        <w:rPr>
          <w:lang w:val="en-US" w:eastAsia="zh-CN"/>
        </w:rPr>
        <w:fldChar w:fldCharType="end"/>
      </w:r>
      <w:r>
        <w:rPr>
          <w:lang w:val="en-US" w:eastAsia="zh-CN"/>
        </w:rPr>
        <w:t xml:space="preserve">, shows that indicating only per cell resource allocation is not enough to fully represents the distribution of resource utilization in the cell. In this example, a cell with four SSB beams serves users that are located only under the coverage area of two SSB beams. Multi-user MIMO techniques, however, would allow to reuse the same PRBs simultaneously for users under the coverage area of different SSB beams Therefore, while from a cell perspective 80% of the PRBs are utilized, the cell could accept users under the coverage area of SSB-3 and SSB-4 where resources are not utilized. </w:t>
      </w:r>
    </w:p>
    <w:p w14:paraId="20FF216A" w14:textId="77777777" w:rsidR="00090FF2" w:rsidRDefault="00090FF2" w:rsidP="00530A14">
      <w:pPr>
        <w:jc w:val="both"/>
        <w:rPr>
          <w:lang w:val="en-US" w:eastAsia="zh-CN"/>
        </w:rPr>
      </w:pPr>
    </w:p>
    <w:p w14:paraId="3AF2CBE6" w14:textId="77777777" w:rsidR="00DF1846" w:rsidRDefault="00524933" w:rsidP="00AA5589">
      <w:pPr>
        <w:keepNext/>
        <w:jc w:val="both"/>
      </w:pPr>
      <w:r>
        <w:rPr>
          <w:noProof/>
          <w:lang w:val="en-US"/>
        </w:rPr>
        <w:drawing>
          <wp:inline distT="0" distB="0" distL="0" distR="0" wp14:anchorId="69C2F916" wp14:editId="7C1DF30F">
            <wp:extent cx="6120765" cy="154277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542770"/>
                    </a:xfrm>
                    <a:prstGeom prst="rect">
                      <a:avLst/>
                    </a:prstGeom>
                    <a:noFill/>
                  </pic:spPr>
                </pic:pic>
              </a:graphicData>
            </a:graphic>
          </wp:inline>
        </w:drawing>
      </w:r>
    </w:p>
    <w:p w14:paraId="664B885C" w14:textId="4F7DF426" w:rsidR="00C7402A" w:rsidRPr="00DF1846" w:rsidRDefault="00DF1846" w:rsidP="00AA5589">
      <w:pPr>
        <w:pStyle w:val="Caption"/>
        <w:jc w:val="both"/>
        <w:rPr>
          <w:lang w:val="en-US" w:eastAsia="zh-CN"/>
        </w:rPr>
      </w:pPr>
      <w:bookmarkStart w:id="4" w:name="_Ref19698897"/>
      <w:r w:rsidRPr="00AA5589">
        <w:rPr>
          <w:lang w:val="en-US"/>
        </w:rPr>
        <w:t xml:space="preserve">Figure </w:t>
      </w:r>
      <w:r>
        <w:fldChar w:fldCharType="begin"/>
      </w:r>
      <w:r w:rsidRPr="00AA5589">
        <w:rPr>
          <w:lang w:val="en-US"/>
        </w:rPr>
        <w:instrText xml:space="preserve"> SEQ Figure \* ARABIC </w:instrText>
      </w:r>
      <w:r>
        <w:fldChar w:fldCharType="separate"/>
      </w:r>
      <w:r w:rsidR="00FB43BC">
        <w:rPr>
          <w:noProof/>
          <w:lang w:val="en-US"/>
        </w:rPr>
        <w:t>2</w:t>
      </w:r>
      <w:r>
        <w:fldChar w:fldCharType="end"/>
      </w:r>
      <w:bookmarkEnd w:id="4"/>
      <w:r w:rsidRPr="00AA5589">
        <w:rPr>
          <w:lang w:val="en-US"/>
        </w:rPr>
        <w:t xml:space="preserve">: </w:t>
      </w:r>
      <w:r w:rsidRPr="00DF1846">
        <w:rPr>
          <w:lang w:val="en-US"/>
        </w:rPr>
        <w:t>Illustration</w:t>
      </w:r>
      <w:r w:rsidRPr="00AA5589">
        <w:rPr>
          <w:lang w:val="en-US"/>
        </w:rPr>
        <w:t xml:space="preserve"> of spatial distribution of resource utilization across SSB beams coverage area-</w:t>
      </w:r>
    </w:p>
    <w:p w14:paraId="6AED3055" w14:textId="1E5A9F98" w:rsidR="00DF1846" w:rsidRDefault="006507E9" w:rsidP="00530A14">
      <w:pPr>
        <w:jc w:val="both"/>
        <w:rPr>
          <w:lang w:val="en-US"/>
        </w:rPr>
      </w:pPr>
      <w:r>
        <w:rPr>
          <w:lang w:val="en-US" w:eastAsia="zh-CN"/>
        </w:rPr>
        <w:lastRenderedPageBreak/>
        <w:t>Finally, the example illustrated in</w:t>
      </w:r>
      <w:r w:rsidR="00CF3953">
        <w:rPr>
          <w:lang w:val="en-US" w:eastAsia="zh-CN"/>
        </w:rPr>
        <w:t xml:space="preserve"> </w:t>
      </w:r>
      <w:r w:rsidR="00CF3953">
        <w:rPr>
          <w:lang w:val="en-US" w:eastAsia="zh-CN"/>
        </w:rPr>
        <w:fldChar w:fldCharType="begin"/>
      </w:r>
      <w:r w:rsidR="00CF3953">
        <w:rPr>
          <w:lang w:val="en-US" w:eastAsia="zh-CN"/>
        </w:rPr>
        <w:instrText xml:space="preserve"> REF _Ref19699064 \h </w:instrText>
      </w:r>
      <w:r w:rsidR="00CF3953">
        <w:rPr>
          <w:lang w:val="en-US" w:eastAsia="zh-CN"/>
        </w:rPr>
      </w:r>
      <w:r w:rsidR="00CF3953">
        <w:rPr>
          <w:lang w:val="en-US" w:eastAsia="zh-CN"/>
        </w:rPr>
        <w:fldChar w:fldCharType="separate"/>
      </w:r>
      <w:r w:rsidR="00CF3953" w:rsidRPr="00AA5589">
        <w:rPr>
          <w:lang w:val="en-US"/>
        </w:rPr>
        <w:t xml:space="preserve">Figure </w:t>
      </w:r>
      <w:r w:rsidR="00CF3953" w:rsidRPr="00AA5589">
        <w:rPr>
          <w:noProof/>
          <w:lang w:val="en-US"/>
        </w:rPr>
        <w:t>3</w:t>
      </w:r>
      <w:r w:rsidR="00CF3953">
        <w:rPr>
          <w:lang w:val="en-US" w:eastAsia="zh-CN"/>
        </w:rPr>
        <w:fldChar w:fldCharType="end"/>
      </w:r>
      <w:r w:rsidR="00CF3953">
        <w:rPr>
          <w:lang w:val="en-US" w:eastAsia="zh-CN"/>
        </w:rPr>
        <w:t xml:space="preserve">, illustrates </w:t>
      </w:r>
      <w:r w:rsidR="00D47466">
        <w:rPr>
          <w:lang w:val="en-US" w:eastAsia="zh-CN"/>
        </w:rPr>
        <w:t xml:space="preserve">that using only cell-specific composite available capacity </w:t>
      </w:r>
      <w:r w:rsidR="00773ABA">
        <w:rPr>
          <w:lang w:val="en-US" w:eastAsia="zh-CN"/>
        </w:rPr>
        <w:t xml:space="preserve">(CAC) </w:t>
      </w:r>
      <w:r w:rsidR="00D47466">
        <w:rPr>
          <w:lang w:val="en-US" w:eastAsia="zh-CN"/>
        </w:rPr>
        <w:t>could pro</w:t>
      </w:r>
      <w:r w:rsidR="00773ABA">
        <w:rPr>
          <w:lang w:val="en-US" w:eastAsia="zh-CN"/>
        </w:rPr>
        <w:t xml:space="preserve">vide an inaccurate measure of the cell potential. </w:t>
      </w:r>
      <w:r w:rsidR="00186C99">
        <w:rPr>
          <w:lang w:val="en-US" w:eastAsia="zh-CN"/>
        </w:rPr>
        <w:t>T</w:t>
      </w:r>
      <w:r w:rsidR="00773ABA">
        <w:rPr>
          <w:lang w:val="en-US" w:eastAsia="zh-CN"/>
        </w:rPr>
        <w:t xml:space="preserve">his example refers to the case illustrated in </w:t>
      </w:r>
      <w:r w:rsidR="00773ABA">
        <w:rPr>
          <w:lang w:val="en-US" w:eastAsia="zh-CN"/>
        </w:rPr>
        <w:fldChar w:fldCharType="begin"/>
      </w:r>
      <w:r w:rsidR="00773ABA">
        <w:rPr>
          <w:lang w:val="en-US" w:eastAsia="zh-CN"/>
        </w:rPr>
        <w:instrText xml:space="preserve"> REF _Ref19698897 \h </w:instrText>
      </w:r>
      <w:r w:rsidR="00773ABA">
        <w:rPr>
          <w:lang w:val="en-US" w:eastAsia="zh-CN"/>
        </w:rPr>
      </w:r>
      <w:r w:rsidR="00773ABA">
        <w:rPr>
          <w:lang w:val="en-US" w:eastAsia="zh-CN"/>
        </w:rPr>
        <w:fldChar w:fldCharType="separate"/>
      </w:r>
      <w:r w:rsidR="00773ABA" w:rsidRPr="00A539B1">
        <w:rPr>
          <w:lang w:val="en-US"/>
        </w:rPr>
        <w:t xml:space="preserve">Figure </w:t>
      </w:r>
      <w:r w:rsidR="00773ABA" w:rsidRPr="00A539B1">
        <w:rPr>
          <w:noProof/>
          <w:lang w:val="en-US"/>
        </w:rPr>
        <w:t>2</w:t>
      </w:r>
      <w:r w:rsidR="00773ABA">
        <w:rPr>
          <w:lang w:val="en-US" w:eastAsia="zh-CN"/>
        </w:rPr>
        <w:fldChar w:fldCharType="end"/>
      </w:r>
      <w:r w:rsidR="00186C99">
        <w:rPr>
          <w:lang w:val="en-US" w:eastAsia="zh-CN"/>
        </w:rPr>
        <w:t>,</w:t>
      </w:r>
      <w:r w:rsidR="006B2EA9">
        <w:rPr>
          <w:lang w:val="en-US" w:eastAsia="zh-CN"/>
        </w:rPr>
        <w:t xml:space="preserve"> where</w:t>
      </w:r>
      <w:r w:rsidR="00186C99">
        <w:rPr>
          <w:lang w:val="en-US" w:eastAsia="zh-CN"/>
        </w:rPr>
        <w:t xml:space="preserve"> </w:t>
      </w:r>
      <w:r w:rsidR="006B2EA9">
        <w:rPr>
          <w:lang w:val="en-US"/>
        </w:rPr>
        <w:t>the cell resources can be fully reused within the coverage areas of each SSB beam</w:t>
      </w:r>
      <w:r w:rsidR="00186C99">
        <w:rPr>
          <w:lang w:val="en-US" w:eastAsia="zh-CN"/>
        </w:rPr>
        <w:t>. In this case,</w:t>
      </w:r>
      <w:r w:rsidR="00773ABA">
        <w:rPr>
          <w:lang w:val="en-US" w:eastAsia="zh-CN"/>
        </w:rPr>
        <w:t xml:space="preserve"> </w:t>
      </w:r>
      <w:r w:rsidR="006B2EA9">
        <w:rPr>
          <w:lang w:val="en-US"/>
        </w:rPr>
        <w:t>the cell-specific CAC as defined in LTE</w:t>
      </w:r>
      <w:r w:rsidR="00926E1B">
        <w:rPr>
          <w:lang w:val="en-US"/>
        </w:rPr>
        <w:t xml:space="preserve"> </w:t>
      </w:r>
      <w:r w:rsidR="00BC6A47">
        <w:rPr>
          <w:lang w:val="en-US"/>
        </w:rPr>
        <w:t>would indicate a low available capacity hiding the fact that the cell can provide capacity under the coverage area of certain SSB beams</w:t>
      </w:r>
      <w:r w:rsidR="006B2EA9">
        <w:rPr>
          <w:rFonts w:eastAsiaTheme="minorEastAsia"/>
          <w:lang w:val="en-US" w:eastAsia="zh-CN"/>
        </w:rPr>
        <w:t>.</w:t>
      </w:r>
      <w:r w:rsidR="006B2EA9">
        <w:rPr>
          <w:lang w:val="en-US"/>
        </w:rPr>
        <w:t xml:space="preserve"> </w:t>
      </w:r>
    </w:p>
    <w:p w14:paraId="2FE65D19" w14:textId="77777777" w:rsidR="00FB43BC" w:rsidRDefault="00FB43BC" w:rsidP="00AA5589">
      <w:pPr>
        <w:keepNext/>
        <w:jc w:val="center"/>
      </w:pPr>
      <w:r>
        <w:rPr>
          <w:noProof/>
        </w:rPr>
        <w:drawing>
          <wp:inline distT="0" distB="0" distL="0" distR="0" wp14:anchorId="484DD15D" wp14:editId="6C65C04A">
            <wp:extent cx="3139440" cy="1889760"/>
            <wp:effectExtent l="0" t="0" r="381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4240" cy="1892649"/>
                    </a:xfrm>
                    <a:prstGeom prst="rect">
                      <a:avLst/>
                    </a:prstGeom>
                    <a:noFill/>
                  </pic:spPr>
                </pic:pic>
              </a:graphicData>
            </a:graphic>
          </wp:inline>
        </w:drawing>
      </w:r>
    </w:p>
    <w:p w14:paraId="669DA3EE" w14:textId="45D65269" w:rsidR="006507E9" w:rsidRDefault="00FB43BC" w:rsidP="00AA5589">
      <w:pPr>
        <w:pStyle w:val="Caption"/>
        <w:rPr>
          <w:lang w:val="en-US" w:eastAsia="zh-CN"/>
        </w:rPr>
      </w:pPr>
      <w:bookmarkStart w:id="5" w:name="_Ref19699064"/>
      <w:r w:rsidRPr="00AA5589">
        <w:rPr>
          <w:lang w:val="en-US"/>
        </w:rPr>
        <w:t xml:space="preserve">Figure </w:t>
      </w:r>
      <w:r>
        <w:fldChar w:fldCharType="begin"/>
      </w:r>
      <w:r w:rsidRPr="00AA5589">
        <w:rPr>
          <w:lang w:val="en-US"/>
        </w:rPr>
        <w:instrText xml:space="preserve"> SEQ Figure \* ARABIC </w:instrText>
      </w:r>
      <w:r>
        <w:fldChar w:fldCharType="separate"/>
      </w:r>
      <w:r w:rsidRPr="00AA5589">
        <w:rPr>
          <w:noProof/>
          <w:lang w:val="en-US"/>
        </w:rPr>
        <w:t>3</w:t>
      </w:r>
      <w:r>
        <w:fldChar w:fldCharType="end"/>
      </w:r>
      <w:bookmarkEnd w:id="5"/>
      <w:r w:rsidRPr="00AA5589">
        <w:rPr>
          <w:lang w:val="en-US"/>
        </w:rPr>
        <w:t>: Illustration of CAC per cell vs CAC per SSB beam coverage area</w:t>
      </w:r>
      <w:r w:rsidR="00CF3953">
        <w:rPr>
          <w:lang w:val="en-US"/>
        </w:rPr>
        <w:t xml:space="preserve"> for the example in </w:t>
      </w:r>
      <w:r w:rsidR="00CF3953">
        <w:rPr>
          <w:lang w:val="en-US"/>
        </w:rPr>
        <w:fldChar w:fldCharType="begin"/>
      </w:r>
      <w:r w:rsidR="00CF3953">
        <w:rPr>
          <w:lang w:val="en-US"/>
        </w:rPr>
        <w:instrText xml:space="preserve"> REF _Ref19698897 \h </w:instrText>
      </w:r>
      <w:r w:rsidR="00CF3953">
        <w:rPr>
          <w:lang w:val="en-US"/>
        </w:rPr>
      </w:r>
      <w:r w:rsidR="00CF3953">
        <w:rPr>
          <w:lang w:val="en-US"/>
        </w:rPr>
        <w:fldChar w:fldCharType="separate"/>
      </w:r>
      <w:r w:rsidR="00CF3953" w:rsidRPr="00AA5589">
        <w:rPr>
          <w:lang w:val="en-US"/>
        </w:rPr>
        <w:t xml:space="preserve">Figure </w:t>
      </w:r>
      <w:r w:rsidR="00CF3953">
        <w:rPr>
          <w:noProof/>
          <w:lang w:val="en-US"/>
        </w:rPr>
        <w:t>2</w:t>
      </w:r>
      <w:r w:rsidR="00CF3953">
        <w:rPr>
          <w:lang w:val="en-US"/>
        </w:rPr>
        <w:fldChar w:fldCharType="end"/>
      </w:r>
      <w:r w:rsidRPr="00AA5589">
        <w:rPr>
          <w:lang w:val="en-US"/>
        </w:rPr>
        <w:t>.</w:t>
      </w:r>
    </w:p>
    <w:p w14:paraId="4CC90156" w14:textId="1AD4A5E6" w:rsidR="007C40B6" w:rsidRPr="0035645E" w:rsidRDefault="00F10FEA" w:rsidP="00530A14">
      <w:pPr>
        <w:jc w:val="both"/>
        <w:rPr>
          <w:lang w:val="en-US" w:eastAsia="zh-CN"/>
        </w:rPr>
      </w:pPr>
      <w:r w:rsidRPr="0035645E">
        <w:rPr>
          <w:lang w:val="en-US" w:eastAsia="zh-CN"/>
        </w:rPr>
        <w:t>Therefore, when one consider</w:t>
      </w:r>
      <w:r w:rsidR="00E31337">
        <w:rPr>
          <w:lang w:val="en-US" w:eastAsia="zh-CN"/>
        </w:rPr>
        <w:t>s</w:t>
      </w:r>
      <w:r w:rsidRPr="0035645E">
        <w:rPr>
          <w:lang w:val="en-US" w:eastAsia="zh-CN"/>
        </w:rPr>
        <w:t xml:space="preserve"> the parameters</w:t>
      </w:r>
      <w:r w:rsidR="007C40B6" w:rsidRPr="0035645E">
        <w:rPr>
          <w:lang w:val="en-US" w:eastAsia="zh-CN"/>
        </w:rPr>
        <w:t>:</w:t>
      </w:r>
      <w:r w:rsidRPr="0035645E">
        <w:rPr>
          <w:lang w:val="en-US" w:eastAsia="zh-CN"/>
        </w:rPr>
        <w:t xml:space="preserve"> </w:t>
      </w:r>
    </w:p>
    <w:p w14:paraId="62D3A463" w14:textId="00D76C86" w:rsidR="007C40B6" w:rsidRPr="0035645E" w:rsidRDefault="00F10FEA" w:rsidP="00530A14">
      <w:pPr>
        <w:pStyle w:val="ListParagraph"/>
        <w:numPr>
          <w:ilvl w:val="0"/>
          <w:numId w:val="37"/>
        </w:numPr>
        <w:jc w:val="both"/>
        <w:rPr>
          <w:i/>
          <w:lang w:val="en-US" w:eastAsia="en-GB"/>
        </w:rPr>
      </w:pPr>
      <w:r w:rsidRPr="0035645E">
        <w:rPr>
          <w:i/>
          <w:lang w:val="en-US" w:eastAsia="en-GB"/>
        </w:rPr>
        <w:t xml:space="preserve">Composite Available Capacity per cell (DL/UL), reported via X2, </w:t>
      </w:r>
      <w:proofErr w:type="spellStart"/>
      <w:r w:rsidRPr="0035645E">
        <w:rPr>
          <w:i/>
          <w:lang w:val="en-US" w:eastAsia="en-GB"/>
        </w:rPr>
        <w:t>Xn</w:t>
      </w:r>
      <w:proofErr w:type="spellEnd"/>
      <w:r w:rsidRPr="0035645E">
        <w:rPr>
          <w:i/>
          <w:lang w:val="en-US" w:eastAsia="en-GB"/>
        </w:rPr>
        <w:t xml:space="preserve"> and F1 interfaces;</w:t>
      </w:r>
      <w:r w:rsidR="007C40B6" w:rsidRPr="0035645E">
        <w:rPr>
          <w:i/>
          <w:lang w:val="en-US" w:eastAsia="en-GB"/>
        </w:rPr>
        <w:t xml:space="preserve"> </w:t>
      </w:r>
    </w:p>
    <w:p w14:paraId="65A85D34" w14:textId="77777777" w:rsidR="00F10FEA" w:rsidRPr="0035645E" w:rsidRDefault="00F10FEA" w:rsidP="00530A14">
      <w:pPr>
        <w:pStyle w:val="ListParagraph"/>
        <w:numPr>
          <w:ilvl w:val="0"/>
          <w:numId w:val="37"/>
        </w:numPr>
        <w:jc w:val="both"/>
        <w:rPr>
          <w:i/>
          <w:lang w:val="en-US" w:eastAsia="en-GB"/>
        </w:rPr>
      </w:pPr>
      <w:r w:rsidRPr="0035645E">
        <w:rPr>
          <w:i/>
          <w:lang w:val="en-US" w:eastAsia="zh-CN"/>
        </w:rPr>
        <w:t xml:space="preserve">Cell Level Load (DL/UL/SUL) reported via X2, </w:t>
      </w:r>
      <w:proofErr w:type="spellStart"/>
      <w:r w:rsidRPr="0035645E">
        <w:rPr>
          <w:i/>
          <w:lang w:val="en-US" w:eastAsia="zh-CN"/>
        </w:rPr>
        <w:t>Xn</w:t>
      </w:r>
      <w:proofErr w:type="spellEnd"/>
      <w:r w:rsidRPr="0035645E">
        <w:rPr>
          <w:i/>
          <w:lang w:val="en-US" w:eastAsia="zh-CN"/>
        </w:rPr>
        <w:t>, and F1 interfaces;</w:t>
      </w:r>
    </w:p>
    <w:p w14:paraId="778ABC98" w14:textId="2B1656DC" w:rsidR="00F10FEA" w:rsidRPr="0035645E" w:rsidRDefault="00F10FEA" w:rsidP="00530A14">
      <w:pPr>
        <w:pStyle w:val="ListParagraph"/>
        <w:numPr>
          <w:ilvl w:val="0"/>
          <w:numId w:val="37"/>
        </w:numPr>
        <w:jc w:val="both"/>
        <w:rPr>
          <w:lang w:val="en-US" w:eastAsia="zh-CN"/>
        </w:rPr>
      </w:pPr>
      <w:r w:rsidRPr="0035645E">
        <w:rPr>
          <w:i/>
          <w:lang w:val="en-US" w:eastAsia="zh-CN"/>
        </w:rPr>
        <w:t xml:space="preserve">TNL Load reported via X2, </w:t>
      </w:r>
      <w:proofErr w:type="spellStart"/>
      <w:r w:rsidRPr="0035645E">
        <w:rPr>
          <w:i/>
          <w:lang w:val="en-US" w:eastAsia="zh-CN"/>
        </w:rPr>
        <w:t>Xn</w:t>
      </w:r>
      <w:proofErr w:type="spellEnd"/>
      <w:r w:rsidRPr="0035645E">
        <w:rPr>
          <w:i/>
          <w:lang w:val="en-US" w:eastAsia="zh-CN"/>
        </w:rPr>
        <w:t>, F1, and E1 interfaces.</w:t>
      </w:r>
    </w:p>
    <w:p w14:paraId="515A7F42" w14:textId="0FBE474A" w:rsidR="00F10FEA" w:rsidRPr="006C6C6A" w:rsidRDefault="00B87D64" w:rsidP="00530A14">
      <w:pPr>
        <w:jc w:val="both"/>
        <w:rPr>
          <w:lang w:eastAsia="zh-CN"/>
        </w:rPr>
      </w:pPr>
      <w:r w:rsidRPr="0035645E">
        <w:rPr>
          <w:lang w:val="en-US" w:eastAsia="zh-CN"/>
        </w:rPr>
        <w:t>a</w:t>
      </w:r>
      <w:r w:rsidR="00EB100C" w:rsidRPr="0035645E">
        <w:rPr>
          <w:lang w:val="en-US" w:eastAsia="zh-CN"/>
        </w:rPr>
        <w:t xml:space="preserve">nd asks the question of whether they are </w:t>
      </w:r>
      <w:proofErr w:type="gramStart"/>
      <w:r w:rsidR="00EB100C" w:rsidRPr="0035645E">
        <w:rPr>
          <w:lang w:val="en-US" w:eastAsia="zh-CN"/>
        </w:rPr>
        <w:t>sufficient</w:t>
      </w:r>
      <w:proofErr w:type="gramEnd"/>
      <w:r w:rsidR="00EB100C" w:rsidRPr="0035645E">
        <w:rPr>
          <w:lang w:val="en-US" w:eastAsia="zh-CN"/>
        </w:rPr>
        <w:t xml:space="preserve"> </w:t>
      </w:r>
      <w:r w:rsidR="006C6C6A" w:rsidRPr="0035645E">
        <w:rPr>
          <w:color w:val="000000"/>
          <w:lang w:val="en-US" w:eastAsia="zh-CN"/>
        </w:rPr>
        <w:t xml:space="preserve">for the correct functioning of the load management function, the answer is that they are not sufficient and that they </w:t>
      </w:r>
      <w:r w:rsidR="00054DD2" w:rsidRPr="0035645E">
        <w:rPr>
          <w:color w:val="000000"/>
          <w:lang w:val="en-US" w:eastAsia="zh-CN"/>
        </w:rPr>
        <w:t xml:space="preserve">need to be complemented with some extra information that would make the load information accurate from a </w:t>
      </w:r>
      <w:r w:rsidRPr="0035645E">
        <w:rPr>
          <w:color w:val="000000"/>
          <w:lang w:val="en-US" w:eastAsia="zh-CN"/>
        </w:rPr>
        <w:t>spatial</w:t>
      </w:r>
      <w:r w:rsidR="00054DD2" w:rsidRPr="0035645E">
        <w:rPr>
          <w:color w:val="000000"/>
          <w:lang w:val="en-US" w:eastAsia="zh-CN"/>
        </w:rPr>
        <w:t xml:space="preserve"> point of view. </w:t>
      </w:r>
      <w:r>
        <w:rPr>
          <w:color w:val="000000"/>
          <w:lang w:eastAsia="zh-CN"/>
        </w:rPr>
        <w:t>Considering</w:t>
      </w:r>
      <w:r w:rsidR="004C1C7D">
        <w:rPr>
          <w:color w:val="000000"/>
          <w:lang w:eastAsia="zh-CN"/>
        </w:rPr>
        <w:t xml:space="preserve"> this</w:t>
      </w:r>
      <w:r>
        <w:rPr>
          <w:color w:val="000000"/>
          <w:lang w:eastAsia="zh-CN"/>
        </w:rPr>
        <w:t>,</w:t>
      </w:r>
      <w:r w:rsidR="004C1C7D">
        <w:rPr>
          <w:color w:val="000000"/>
          <w:lang w:eastAsia="zh-CN"/>
        </w:rPr>
        <w:t xml:space="preserve"> the following is proposed.</w:t>
      </w:r>
    </w:p>
    <w:p w14:paraId="64825B8F" w14:textId="59575C75" w:rsidR="006C7BF1" w:rsidRPr="00A4304D" w:rsidRDefault="004C1C7D" w:rsidP="00530A14">
      <w:pPr>
        <w:pStyle w:val="ListParagraph"/>
        <w:numPr>
          <w:ilvl w:val="0"/>
          <w:numId w:val="29"/>
        </w:numPr>
        <w:ind w:left="1701" w:hanging="1701"/>
        <w:jc w:val="both"/>
        <w:rPr>
          <w:b/>
          <w:lang w:val="en-US" w:eastAsia="zh-CN"/>
        </w:rPr>
      </w:pPr>
      <w:r w:rsidRPr="0035645E">
        <w:rPr>
          <w:b/>
          <w:lang w:val="en-US" w:eastAsia="zh-CN"/>
        </w:rPr>
        <w:t>To introduce</w:t>
      </w:r>
      <w:r w:rsidR="0026752B" w:rsidRPr="0035645E">
        <w:rPr>
          <w:b/>
          <w:lang w:val="en-US" w:eastAsia="zh-CN"/>
        </w:rPr>
        <w:t xml:space="preserve"> </w:t>
      </w:r>
      <w:r w:rsidR="00A34BFE" w:rsidRPr="0035645E">
        <w:rPr>
          <w:b/>
          <w:lang w:val="en-US" w:eastAsia="zh-CN"/>
        </w:rPr>
        <w:t xml:space="preserve">beam level </w:t>
      </w:r>
      <w:r w:rsidR="00896D0A" w:rsidRPr="0035645E">
        <w:rPr>
          <w:b/>
          <w:lang w:val="en-US" w:eastAsia="zh-CN"/>
        </w:rPr>
        <w:t>composite available capacity and/or load</w:t>
      </w:r>
      <w:r w:rsidR="003C0418" w:rsidRPr="0035645E">
        <w:rPr>
          <w:b/>
          <w:lang w:val="en-US" w:eastAsia="zh-CN"/>
        </w:rPr>
        <w:t xml:space="preserve"> on a per SSB beam level</w:t>
      </w:r>
      <w:r w:rsidR="005951CF" w:rsidRPr="0035645E">
        <w:rPr>
          <w:b/>
          <w:lang w:val="en-US" w:eastAsia="zh-CN"/>
        </w:rPr>
        <w:t xml:space="preserve"> as part of the load per cell exchanged over RAN interfaces</w:t>
      </w:r>
      <w:r w:rsidR="0026752B" w:rsidRPr="0035645E">
        <w:rPr>
          <w:b/>
          <w:lang w:val="en-US" w:eastAsia="zh-CN"/>
        </w:rPr>
        <w:t>.</w:t>
      </w:r>
    </w:p>
    <w:p w14:paraId="4ED554F6" w14:textId="77777777" w:rsidR="00B87D64" w:rsidRPr="0035645E" w:rsidRDefault="00B87D64" w:rsidP="00530A14">
      <w:pPr>
        <w:jc w:val="both"/>
        <w:rPr>
          <w:b/>
          <w:lang w:val="en-US" w:eastAsia="zh-CN"/>
        </w:rPr>
      </w:pPr>
    </w:p>
    <w:p w14:paraId="2FD8B335" w14:textId="455C525C" w:rsidR="00C01F33" w:rsidRPr="00CE0424" w:rsidRDefault="00C01F33" w:rsidP="00530A14">
      <w:pPr>
        <w:pStyle w:val="Heading1"/>
        <w:jc w:val="both"/>
      </w:pPr>
      <w:r w:rsidRPr="00CE0424">
        <w:t>Conclusion</w:t>
      </w:r>
      <w:r w:rsidR="00A663FE">
        <w:t>s</w:t>
      </w:r>
    </w:p>
    <w:p w14:paraId="57E38EE2" w14:textId="12BAA672" w:rsidR="00495217" w:rsidRPr="0035645E" w:rsidRDefault="00495217" w:rsidP="00530A14">
      <w:pPr>
        <w:jc w:val="both"/>
        <w:rPr>
          <w:lang w:val="en-US"/>
        </w:rPr>
      </w:pPr>
      <w:bookmarkStart w:id="6" w:name="_In-sequence_SDU_delivery"/>
      <w:bookmarkStart w:id="7" w:name="_Toc502931810"/>
      <w:bookmarkStart w:id="8" w:name="_Toc502953352"/>
      <w:bookmarkStart w:id="9" w:name="_Toc502953538"/>
      <w:bookmarkStart w:id="10" w:name="_Toc502953582"/>
      <w:bookmarkStart w:id="11" w:name="_Hlk508794470"/>
      <w:bookmarkEnd w:id="6"/>
      <w:r w:rsidRPr="0035645E">
        <w:rPr>
          <w:lang w:val="en-US"/>
        </w:rPr>
        <w:t>In this contribution, the following observations are captured:</w:t>
      </w:r>
    </w:p>
    <w:p w14:paraId="58F0CB34" w14:textId="5BBFAE70" w:rsidR="00A34BFE" w:rsidRPr="0035645E" w:rsidRDefault="00240B0A" w:rsidP="00530A14">
      <w:pPr>
        <w:pStyle w:val="ListParagraph"/>
        <w:numPr>
          <w:ilvl w:val="0"/>
          <w:numId w:val="34"/>
        </w:numPr>
        <w:ind w:left="1701" w:hanging="1701"/>
        <w:jc w:val="both"/>
        <w:rPr>
          <w:b/>
          <w:noProof/>
          <w:lang w:val="en-US"/>
        </w:rPr>
      </w:pPr>
      <w:r w:rsidRPr="0035645E">
        <w:rPr>
          <w:b/>
          <w:lang w:val="en-US" w:eastAsia="zh-CN"/>
        </w:rPr>
        <w:t xml:space="preserve">NR already supports downlink reference signals that can be used to characterize </w:t>
      </w:r>
      <w:r w:rsidRPr="005223F0">
        <w:rPr>
          <w:b/>
          <w:lang w:val="en-GB" w:eastAsia="zh-CN"/>
        </w:rPr>
        <w:t>the cell load distribution in the spatial domain</w:t>
      </w:r>
      <w:r>
        <w:rPr>
          <w:b/>
          <w:lang w:val="en-GB" w:eastAsia="zh-CN"/>
        </w:rPr>
        <w:t>, e.g</w:t>
      </w:r>
      <w:r w:rsidR="007573EE">
        <w:rPr>
          <w:b/>
          <w:lang w:val="en-GB" w:eastAsia="zh-CN"/>
        </w:rPr>
        <w:t>.</w:t>
      </w:r>
      <w:r w:rsidRPr="0035645E">
        <w:rPr>
          <w:b/>
          <w:lang w:val="en-US" w:eastAsia="zh-CN"/>
        </w:rPr>
        <w:t xml:space="preserve"> on a per SSB beam coverage area</w:t>
      </w:r>
      <w:r w:rsidR="00495217" w:rsidRPr="0035645E">
        <w:rPr>
          <w:b/>
          <w:noProof/>
          <w:lang w:val="en-US"/>
        </w:rPr>
        <w:t>.</w:t>
      </w:r>
    </w:p>
    <w:p w14:paraId="1D900FED" w14:textId="024D37B2" w:rsidR="00495217" w:rsidRPr="0035645E" w:rsidRDefault="00A34BFE" w:rsidP="00530A14">
      <w:pPr>
        <w:pStyle w:val="ListParagraph"/>
        <w:numPr>
          <w:ilvl w:val="0"/>
          <w:numId w:val="34"/>
        </w:numPr>
        <w:ind w:left="1701" w:hanging="1701"/>
        <w:jc w:val="both"/>
        <w:rPr>
          <w:b/>
          <w:noProof/>
          <w:lang w:val="en-US"/>
        </w:rPr>
      </w:pPr>
      <w:r w:rsidRPr="0035645E">
        <w:rPr>
          <w:b/>
          <w:lang w:val="en-US" w:eastAsia="zh-CN"/>
        </w:rPr>
        <w:t>Cell-specific load information is not enough for the correct operation of the load management function in NR.</w:t>
      </w:r>
      <w:r w:rsidR="00495217" w:rsidRPr="0035645E">
        <w:rPr>
          <w:b/>
          <w:noProof/>
          <w:lang w:val="en-US"/>
        </w:rPr>
        <w:t xml:space="preserve"> </w:t>
      </w:r>
    </w:p>
    <w:p w14:paraId="48618A4D" w14:textId="26DF198A" w:rsidR="00440D8D" w:rsidRPr="0035645E" w:rsidRDefault="00BA00E8" w:rsidP="00530A14">
      <w:pPr>
        <w:jc w:val="both"/>
        <w:rPr>
          <w:lang w:val="en-US"/>
        </w:rPr>
      </w:pPr>
      <w:r w:rsidRPr="0035645E">
        <w:rPr>
          <w:lang w:val="en-US"/>
        </w:rPr>
        <w:t xml:space="preserve">In this contribution, the following proposals </w:t>
      </w:r>
      <w:r w:rsidR="00C6530A" w:rsidRPr="0035645E">
        <w:rPr>
          <w:lang w:val="en-US"/>
        </w:rPr>
        <w:t>a</w:t>
      </w:r>
      <w:r w:rsidRPr="0035645E">
        <w:rPr>
          <w:lang w:val="en-US"/>
        </w:rPr>
        <w:t>re captured:</w:t>
      </w:r>
      <w:bookmarkEnd w:id="7"/>
      <w:bookmarkEnd w:id="8"/>
      <w:bookmarkEnd w:id="9"/>
      <w:bookmarkEnd w:id="10"/>
    </w:p>
    <w:p w14:paraId="7270A91E" w14:textId="2AED96AB" w:rsidR="00647AC1" w:rsidRPr="0035645E" w:rsidRDefault="005951CF" w:rsidP="00530A14">
      <w:pPr>
        <w:pStyle w:val="ListParagraph"/>
        <w:numPr>
          <w:ilvl w:val="0"/>
          <w:numId w:val="31"/>
        </w:numPr>
        <w:ind w:left="1701" w:hanging="1701"/>
        <w:jc w:val="both"/>
        <w:rPr>
          <w:b/>
          <w:lang w:val="en-US" w:eastAsia="zh-CN"/>
        </w:rPr>
      </w:pPr>
      <w:r w:rsidRPr="0035645E">
        <w:rPr>
          <w:b/>
          <w:lang w:val="en-US" w:eastAsia="zh-CN"/>
        </w:rPr>
        <w:t>To introduce beam level composite available capacity and/or load on a per SSB beam level as part of the load per cell exchanged over RAN interfaces</w:t>
      </w:r>
      <w:r w:rsidR="00D417A1" w:rsidRPr="0035645E">
        <w:rPr>
          <w:rFonts w:cs="Arial"/>
          <w:b/>
          <w:lang w:val="en-US"/>
        </w:rPr>
        <w:t>.</w:t>
      </w:r>
      <w:r w:rsidR="00BA00E8" w:rsidRPr="00D417A1">
        <w:rPr>
          <w:b/>
          <w:kern w:val="2"/>
          <w:sz w:val="20"/>
          <w:szCs w:val="20"/>
          <w:lang w:val="fi-FI"/>
        </w:rPr>
        <w:fldChar w:fldCharType="begin"/>
      </w:r>
      <w:r w:rsidR="00BA00E8" w:rsidRPr="0035645E">
        <w:rPr>
          <w:b/>
          <w:lang w:val="en-US"/>
        </w:rPr>
        <w:instrText xml:space="preserve"> TOC \f \n \t "Proposal;1" </w:instrText>
      </w:r>
      <w:r w:rsidR="00BA00E8" w:rsidRPr="00D417A1">
        <w:rPr>
          <w:b/>
          <w:kern w:val="2"/>
          <w:sz w:val="20"/>
          <w:szCs w:val="20"/>
          <w:lang w:val="fi-FI"/>
        </w:rPr>
        <w:fldChar w:fldCharType="separate"/>
      </w:r>
    </w:p>
    <w:p w14:paraId="6C9E5AD2" w14:textId="709F7BAB" w:rsidR="003A7EF3" w:rsidRDefault="00BA00E8" w:rsidP="00530A14">
      <w:pPr>
        <w:pStyle w:val="Heading1"/>
        <w:numPr>
          <w:ilvl w:val="0"/>
          <w:numId w:val="0"/>
        </w:numPr>
        <w:ind w:left="1701" w:hanging="1701"/>
        <w:jc w:val="both"/>
        <w:rPr>
          <w:b/>
          <w:lang w:val="en-US"/>
        </w:rPr>
      </w:pPr>
      <w:r w:rsidRPr="00D417A1">
        <w:rPr>
          <w:b/>
          <w:lang w:val="en-US"/>
        </w:rPr>
        <w:lastRenderedPageBreak/>
        <w:fldChar w:fldCharType="end"/>
      </w:r>
      <w:bookmarkEnd w:id="11"/>
    </w:p>
    <w:p w14:paraId="2301FF3F" w14:textId="77777777" w:rsidR="00355AEB" w:rsidRPr="00CE0424" w:rsidRDefault="00355AEB" w:rsidP="00530A14">
      <w:pPr>
        <w:pStyle w:val="Heading1"/>
        <w:jc w:val="both"/>
      </w:pPr>
      <w:r>
        <w:t>References</w:t>
      </w:r>
    </w:p>
    <w:p w14:paraId="75BDDEA4" w14:textId="77777777" w:rsidR="006E7C1A" w:rsidRPr="006E7C1A" w:rsidRDefault="006E7C1A" w:rsidP="00F90F03">
      <w:pPr>
        <w:pStyle w:val="ListParagraph"/>
        <w:numPr>
          <w:ilvl w:val="0"/>
          <w:numId w:val="30"/>
        </w:numPr>
        <w:jc w:val="both"/>
        <w:rPr>
          <w:lang w:val="fi-FI"/>
        </w:rPr>
      </w:pPr>
      <w:bookmarkStart w:id="12" w:name="_Ref19091613"/>
      <w:bookmarkStart w:id="13" w:name="_Ref19091579"/>
      <w:r>
        <w:rPr>
          <w:lang w:val="fi-FI"/>
        </w:rPr>
        <w:t xml:space="preserve">Chairmain notes, </w:t>
      </w:r>
      <w:r w:rsidRPr="00F076B7">
        <w:rPr>
          <w:szCs w:val="24"/>
          <w:lang w:val="en-US"/>
        </w:rPr>
        <w:t>3GPP TSG-RAN WG3 #105, Ljubljana, SI, 26</w:t>
      </w:r>
      <w:r w:rsidRPr="00F90F03">
        <w:rPr>
          <w:szCs w:val="24"/>
          <w:vertAlign w:val="superscript"/>
          <w:lang w:val="en-US"/>
        </w:rPr>
        <w:t>th</w:t>
      </w:r>
      <w:r w:rsidRPr="00F076B7">
        <w:rPr>
          <w:szCs w:val="24"/>
          <w:lang w:val="en-US"/>
        </w:rPr>
        <w:t xml:space="preserve"> August – 30</w:t>
      </w:r>
      <w:r w:rsidRPr="00F90F03">
        <w:rPr>
          <w:szCs w:val="24"/>
          <w:vertAlign w:val="superscript"/>
          <w:lang w:val="en-US"/>
        </w:rPr>
        <w:t>th</w:t>
      </w:r>
      <w:r w:rsidRPr="00F076B7">
        <w:rPr>
          <w:szCs w:val="24"/>
          <w:lang w:val="en-US"/>
        </w:rPr>
        <w:t xml:space="preserve"> August 2019</w:t>
      </w:r>
      <w:bookmarkEnd w:id="12"/>
    </w:p>
    <w:p w14:paraId="4F603E87" w14:textId="1706AA3F" w:rsidR="00F90F03" w:rsidRPr="006215AF" w:rsidRDefault="006215AF" w:rsidP="00F90F03">
      <w:pPr>
        <w:pStyle w:val="ListParagraph"/>
        <w:numPr>
          <w:ilvl w:val="0"/>
          <w:numId w:val="30"/>
        </w:numPr>
        <w:jc w:val="both"/>
        <w:rPr>
          <w:lang w:val="fi-FI"/>
        </w:rPr>
      </w:pPr>
      <w:bookmarkStart w:id="14" w:name="_Ref19093015"/>
      <w:r w:rsidRPr="006215AF">
        <w:rPr>
          <w:lang w:val="fi-FI"/>
        </w:rPr>
        <w:t>R3-194699</w:t>
      </w:r>
      <w:r w:rsidR="00812DF3">
        <w:rPr>
          <w:lang w:val="fi-FI"/>
        </w:rPr>
        <w:t xml:space="preserve"> ”</w:t>
      </w:r>
      <w:r w:rsidR="00812DF3" w:rsidRPr="00812DF3">
        <w:rPr>
          <w:rFonts w:cs="Arial"/>
          <w:lang w:val="en-US"/>
        </w:rPr>
        <w:t xml:space="preserve"> </w:t>
      </w:r>
      <w:r w:rsidR="00812DF3" w:rsidRPr="00207B3E">
        <w:rPr>
          <w:rFonts w:cs="Arial"/>
          <w:lang w:val="en-US"/>
        </w:rPr>
        <w:t>Summary of discussions on per SSB load reporting for load balancing in NG RAN</w:t>
      </w:r>
      <w:r w:rsidR="00F90F03" w:rsidRPr="00F076B7">
        <w:rPr>
          <w:szCs w:val="24"/>
          <w:lang w:val="en-US"/>
        </w:rPr>
        <w:t>”, 3GPP TSG-RAN WG3 #105, Ljubljana, SI, 26</w:t>
      </w:r>
      <w:r w:rsidR="00F90F03" w:rsidRPr="00F90F03">
        <w:rPr>
          <w:szCs w:val="24"/>
          <w:vertAlign w:val="superscript"/>
          <w:lang w:val="en-US"/>
        </w:rPr>
        <w:t>th</w:t>
      </w:r>
      <w:r w:rsidR="00F90F03" w:rsidRPr="00F076B7">
        <w:rPr>
          <w:szCs w:val="24"/>
          <w:lang w:val="en-US"/>
        </w:rPr>
        <w:t xml:space="preserve"> August – 30</w:t>
      </w:r>
      <w:r w:rsidR="00F90F03" w:rsidRPr="00F90F03">
        <w:rPr>
          <w:szCs w:val="24"/>
          <w:vertAlign w:val="superscript"/>
          <w:lang w:val="en-US"/>
        </w:rPr>
        <w:t>th</w:t>
      </w:r>
      <w:r w:rsidR="00F90F03" w:rsidRPr="00F076B7">
        <w:rPr>
          <w:szCs w:val="24"/>
          <w:lang w:val="en-US"/>
        </w:rPr>
        <w:t xml:space="preserve"> August 2019</w:t>
      </w:r>
      <w:r w:rsidR="00F90F03">
        <w:rPr>
          <w:szCs w:val="24"/>
          <w:lang w:val="en-US"/>
        </w:rPr>
        <w:t>.</w:t>
      </w:r>
      <w:bookmarkEnd w:id="13"/>
      <w:bookmarkEnd w:id="14"/>
    </w:p>
    <w:p w14:paraId="0478896A" w14:textId="77777777" w:rsidR="00CD11F0" w:rsidRPr="00B23F20" w:rsidRDefault="00CD11F0" w:rsidP="00CD11F0">
      <w:pPr>
        <w:pStyle w:val="ListParagraph"/>
        <w:numPr>
          <w:ilvl w:val="0"/>
          <w:numId w:val="30"/>
        </w:numPr>
        <w:rPr>
          <w:lang w:val="fi-FI"/>
        </w:rPr>
      </w:pPr>
      <w:bookmarkStart w:id="15" w:name="_Ref14094117"/>
      <w:bookmarkStart w:id="16" w:name="_Ref4155834"/>
      <w:bookmarkStart w:id="17" w:name="_Ref536695849"/>
      <w:bookmarkStart w:id="18" w:name="_Ref468028"/>
      <w:bookmarkStart w:id="19" w:name="_Ref19089637"/>
      <w:r w:rsidRPr="007A4097">
        <w:rPr>
          <w:lang w:val="fi-FI"/>
        </w:rPr>
        <w:t xml:space="preserve">3GPP </w:t>
      </w:r>
      <w:r>
        <w:rPr>
          <w:lang w:val="fi-FI"/>
        </w:rPr>
        <w:t>TR 37.816 v1.0.0</w:t>
      </w:r>
      <w:r w:rsidRPr="0035645E">
        <w:rPr>
          <w:lang w:val="en-US" w:eastAsia="zh-CN"/>
        </w:rPr>
        <w:t xml:space="preserve"> “</w:t>
      </w:r>
      <w:r w:rsidRPr="007A4097">
        <w:rPr>
          <w:lang w:val="fi-FI"/>
        </w:rPr>
        <w:t xml:space="preserve">3rd Generation Partnership Project; </w:t>
      </w:r>
      <w:r w:rsidRPr="006D54AE">
        <w:rPr>
          <w:lang w:val="fi-FI"/>
        </w:rPr>
        <w:t>Technical Specification Group Radio Access Network;Evolved Universal Terrestrial Radio Access (E-UTRA) and NR;</w:t>
      </w:r>
      <w:r>
        <w:rPr>
          <w:lang w:val="fi-FI"/>
        </w:rPr>
        <w:t xml:space="preserve"> </w:t>
      </w:r>
      <w:r w:rsidRPr="006D54AE">
        <w:rPr>
          <w:lang w:val="fi-FI"/>
        </w:rPr>
        <w:t xml:space="preserve">Study on RAN-centric data collection and utilization for LTE and NR”, </w:t>
      </w:r>
      <w:r>
        <w:rPr>
          <w:lang w:val="fi-FI"/>
        </w:rPr>
        <w:t>June 2019</w:t>
      </w:r>
      <w:r w:rsidRPr="006D54AE">
        <w:rPr>
          <w:lang w:val="fi-FI"/>
        </w:rPr>
        <w:t>.</w:t>
      </w:r>
      <w:bookmarkEnd w:id="15"/>
      <w:bookmarkEnd w:id="16"/>
      <w:bookmarkEnd w:id="17"/>
      <w:bookmarkEnd w:id="18"/>
    </w:p>
    <w:p w14:paraId="54D80478" w14:textId="234B6FCA" w:rsidR="002A4EBB" w:rsidRPr="00492386" w:rsidRDefault="002A4EBB" w:rsidP="002A4EBB">
      <w:pPr>
        <w:pStyle w:val="ListParagraph"/>
        <w:numPr>
          <w:ilvl w:val="0"/>
          <w:numId w:val="30"/>
        </w:numPr>
        <w:jc w:val="both"/>
        <w:rPr>
          <w:lang w:val="fi-FI"/>
        </w:rPr>
      </w:pPr>
      <w:bookmarkStart w:id="20" w:name="_Ref19092037"/>
      <w:r w:rsidRPr="00492386">
        <w:rPr>
          <w:szCs w:val="24"/>
          <w:lang w:val="en-US"/>
        </w:rPr>
        <w:t>R3-194286</w:t>
      </w:r>
      <w:proofErr w:type="gramStart"/>
      <w:r w:rsidRPr="00492386">
        <w:rPr>
          <w:szCs w:val="24"/>
          <w:lang w:val="en-US"/>
        </w:rPr>
        <w:t>, ”Limitations</w:t>
      </w:r>
      <w:proofErr w:type="gramEnd"/>
      <w:r w:rsidRPr="00492386">
        <w:rPr>
          <w:szCs w:val="24"/>
          <w:lang w:val="en-US"/>
        </w:rPr>
        <w:t xml:space="preserve"> of cell-level load reporting in load balancing”, 3GPP TSG-RAN WG3 #105, Ljubljana, SI, 26</w:t>
      </w:r>
      <w:r w:rsidRPr="00492386">
        <w:rPr>
          <w:szCs w:val="24"/>
          <w:vertAlign w:val="superscript"/>
          <w:lang w:val="en-US"/>
        </w:rPr>
        <w:t>th</w:t>
      </w:r>
      <w:r w:rsidRPr="00492386">
        <w:rPr>
          <w:szCs w:val="24"/>
          <w:lang w:val="en-US"/>
        </w:rPr>
        <w:t xml:space="preserve"> August – 30</w:t>
      </w:r>
      <w:r w:rsidRPr="00492386">
        <w:rPr>
          <w:szCs w:val="24"/>
          <w:vertAlign w:val="superscript"/>
          <w:lang w:val="en-US"/>
        </w:rPr>
        <w:t>th</w:t>
      </w:r>
      <w:r w:rsidRPr="00492386">
        <w:rPr>
          <w:szCs w:val="24"/>
          <w:lang w:val="en-US"/>
        </w:rPr>
        <w:t xml:space="preserve"> August 2019</w:t>
      </w:r>
      <w:bookmarkEnd w:id="19"/>
      <w:r w:rsidR="00B23F20" w:rsidRPr="00492386">
        <w:rPr>
          <w:szCs w:val="24"/>
          <w:lang w:val="en-US"/>
        </w:rPr>
        <w:t>.</w:t>
      </w:r>
      <w:bookmarkEnd w:id="20"/>
    </w:p>
    <w:sectPr w:rsidR="002A4EBB" w:rsidRPr="0049238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69558" w14:textId="77777777" w:rsidR="007018A5" w:rsidRDefault="007018A5">
      <w:r>
        <w:separator/>
      </w:r>
    </w:p>
  </w:endnote>
  <w:endnote w:type="continuationSeparator" w:id="0">
    <w:p w14:paraId="2F8BB43C" w14:textId="77777777" w:rsidR="007018A5" w:rsidRDefault="007018A5">
      <w:r>
        <w:continuationSeparator/>
      </w:r>
    </w:p>
  </w:endnote>
  <w:endnote w:type="continuationNotice" w:id="1">
    <w:p w14:paraId="7084FC92" w14:textId="77777777" w:rsidR="007018A5" w:rsidRDefault="00701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AE84A" w14:textId="77777777" w:rsidR="007018A5" w:rsidRDefault="007018A5">
      <w:r>
        <w:separator/>
      </w:r>
    </w:p>
  </w:footnote>
  <w:footnote w:type="continuationSeparator" w:id="0">
    <w:p w14:paraId="58FFD33F" w14:textId="77777777" w:rsidR="007018A5" w:rsidRDefault="007018A5">
      <w:r>
        <w:continuationSeparator/>
      </w:r>
    </w:p>
  </w:footnote>
  <w:footnote w:type="continuationNotice" w:id="1">
    <w:p w14:paraId="6ED2B360" w14:textId="77777777" w:rsidR="007018A5" w:rsidRDefault="007018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CA48BA9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F23F41"/>
    <w:multiLevelType w:val="hybridMultilevel"/>
    <w:tmpl w:val="B6CC6498"/>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2D680E"/>
    <w:multiLevelType w:val="hybridMultilevel"/>
    <w:tmpl w:val="67602D06"/>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4859ED"/>
    <w:multiLevelType w:val="hybridMultilevel"/>
    <w:tmpl w:val="2FE6E9E4"/>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C7785C"/>
    <w:multiLevelType w:val="hybridMultilevel"/>
    <w:tmpl w:val="5F7C6CA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9F91E31"/>
    <w:multiLevelType w:val="hybridMultilevel"/>
    <w:tmpl w:val="F3F4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8"/>
  </w:num>
  <w:num w:numId="4">
    <w:abstractNumId w:val="19"/>
  </w:num>
  <w:num w:numId="5">
    <w:abstractNumId w:val="16"/>
  </w:num>
  <w:num w:numId="6">
    <w:abstractNumId w:val="20"/>
  </w:num>
  <w:num w:numId="7">
    <w:abstractNumId w:val="28"/>
  </w:num>
  <w:num w:numId="8">
    <w:abstractNumId w:val="17"/>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6"/>
    <w:lvlOverride w:ilvl="0">
      <w:startOverride w:val="1"/>
    </w:lvlOverride>
  </w:num>
  <w:num w:numId="19">
    <w:abstractNumId w:val="29"/>
  </w:num>
  <w:num w:numId="20">
    <w:abstractNumId w:val="8"/>
  </w:num>
  <w:num w:numId="21">
    <w:abstractNumId w:val="10"/>
  </w:num>
  <w:num w:numId="22">
    <w:abstractNumId w:val="37"/>
  </w:num>
  <w:num w:numId="23">
    <w:abstractNumId w:val="14"/>
  </w:num>
  <w:num w:numId="24">
    <w:abstractNumId w:val="21"/>
  </w:num>
  <w:num w:numId="25">
    <w:abstractNumId w:val="27"/>
  </w:num>
  <w:num w:numId="26">
    <w:abstractNumId w:val="22"/>
  </w:num>
  <w:num w:numId="27">
    <w:abstractNumId w:val="13"/>
  </w:num>
  <w:num w:numId="28">
    <w:abstractNumId w:val="33"/>
  </w:num>
  <w:num w:numId="29">
    <w:abstractNumId w:val="11"/>
  </w:num>
  <w:num w:numId="30">
    <w:abstractNumId w:val="35"/>
  </w:num>
  <w:num w:numId="31">
    <w:abstractNumId w:val="9"/>
  </w:num>
  <w:num w:numId="32">
    <w:abstractNumId w:val="23"/>
  </w:num>
  <w:num w:numId="33">
    <w:abstractNumId w:val="15"/>
  </w:num>
  <w:num w:numId="34">
    <w:abstractNumId w:val="34"/>
  </w:num>
  <w:num w:numId="35">
    <w:abstractNumId w:val="36"/>
  </w:num>
  <w:num w:numId="36">
    <w:abstractNumId w:val="6"/>
  </w:num>
  <w:num w:numId="37">
    <w:abstractNumId w:val="30"/>
  </w:num>
  <w:num w:numId="38">
    <w:abstractNumId w:val="24"/>
  </w:num>
  <w:num w:numId="39">
    <w:abstractNumId w:val="31"/>
  </w:num>
  <w:num w:numId="4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806"/>
    <w:rsid w:val="00000F07"/>
    <w:rsid w:val="00002A37"/>
    <w:rsid w:val="00003480"/>
    <w:rsid w:val="000036E5"/>
    <w:rsid w:val="00003814"/>
    <w:rsid w:val="000039F4"/>
    <w:rsid w:val="00003B3B"/>
    <w:rsid w:val="00003F02"/>
    <w:rsid w:val="00004A23"/>
    <w:rsid w:val="00005502"/>
    <w:rsid w:val="00006446"/>
    <w:rsid w:val="00006896"/>
    <w:rsid w:val="00006939"/>
    <w:rsid w:val="00007CDC"/>
    <w:rsid w:val="00011B28"/>
    <w:rsid w:val="0001354C"/>
    <w:rsid w:val="00013B63"/>
    <w:rsid w:val="000156DC"/>
    <w:rsid w:val="00015D15"/>
    <w:rsid w:val="00016B4F"/>
    <w:rsid w:val="00021E75"/>
    <w:rsid w:val="00023AEB"/>
    <w:rsid w:val="000241FA"/>
    <w:rsid w:val="000245B9"/>
    <w:rsid w:val="0002564D"/>
    <w:rsid w:val="00025AA6"/>
    <w:rsid w:val="00025ECA"/>
    <w:rsid w:val="00026B61"/>
    <w:rsid w:val="000274D7"/>
    <w:rsid w:val="000325B8"/>
    <w:rsid w:val="00034C15"/>
    <w:rsid w:val="00036BA1"/>
    <w:rsid w:val="00037BAD"/>
    <w:rsid w:val="000400CE"/>
    <w:rsid w:val="00041789"/>
    <w:rsid w:val="000422E2"/>
    <w:rsid w:val="00042F22"/>
    <w:rsid w:val="00043D38"/>
    <w:rsid w:val="000444EF"/>
    <w:rsid w:val="0004596F"/>
    <w:rsid w:val="00045EB3"/>
    <w:rsid w:val="00046C24"/>
    <w:rsid w:val="00050AEB"/>
    <w:rsid w:val="00052A07"/>
    <w:rsid w:val="000534E3"/>
    <w:rsid w:val="00054C6F"/>
    <w:rsid w:val="00054DD2"/>
    <w:rsid w:val="0005606A"/>
    <w:rsid w:val="00056E09"/>
    <w:rsid w:val="00057117"/>
    <w:rsid w:val="000600AB"/>
    <w:rsid w:val="000608C7"/>
    <w:rsid w:val="000615A2"/>
    <w:rsid w:val="000616E7"/>
    <w:rsid w:val="000619CF"/>
    <w:rsid w:val="00061BFE"/>
    <w:rsid w:val="000640C5"/>
    <w:rsid w:val="0006487E"/>
    <w:rsid w:val="00065E1A"/>
    <w:rsid w:val="00070C86"/>
    <w:rsid w:val="000717ED"/>
    <w:rsid w:val="000749BC"/>
    <w:rsid w:val="00074D86"/>
    <w:rsid w:val="000757F4"/>
    <w:rsid w:val="00077E5F"/>
    <w:rsid w:val="0008036A"/>
    <w:rsid w:val="00081AE6"/>
    <w:rsid w:val="0008320E"/>
    <w:rsid w:val="000855EB"/>
    <w:rsid w:val="00085B52"/>
    <w:rsid w:val="0008603E"/>
    <w:rsid w:val="000866F2"/>
    <w:rsid w:val="0009009F"/>
    <w:rsid w:val="00090FF2"/>
    <w:rsid w:val="00091557"/>
    <w:rsid w:val="000924C1"/>
    <w:rsid w:val="000924F0"/>
    <w:rsid w:val="00093474"/>
    <w:rsid w:val="0009510F"/>
    <w:rsid w:val="00095BA2"/>
    <w:rsid w:val="00097DC4"/>
    <w:rsid w:val="000A0871"/>
    <w:rsid w:val="000A105F"/>
    <w:rsid w:val="000A1B7B"/>
    <w:rsid w:val="000A3459"/>
    <w:rsid w:val="000A56F2"/>
    <w:rsid w:val="000A5BBC"/>
    <w:rsid w:val="000A60A3"/>
    <w:rsid w:val="000B1DAA"/>
    <w:rsid w:val="000B2225"/>
    <w:rsid w:val="000B2552"/>
    <w:rsid w:val="000B2719"/>
    <w:rsid w:val="000B3A8F"/>
    <w:rsid w:val="000B462B"/>
    <w:rsid w:val="000B4AB9"/>
    <w:rsid w:val="000B58C3"/>
    <w:rsid w:val="000B61E9"/>
    <w:rsid w:val="000B640B"/>
    <w:rsid w:val="000B6924"/>
    <w:rsid w:val="000B7EF1"/>
    <w:rsid w:val="000C1010"/>
    <w:rsid w:val="000C12DF"/>
    <w:rsid w:val="000C165A"/>
    <w:rsid w:val="000C211C"/>
    <w:rsid w:val="000C2E19"/>
    <w:rsid w:val="000C3591"/>
    <w:rsid w:val="000C58A0"/>
    <w:rsid w:val="000D0C40"/>
    <w:rsid w:val="000D0D07"/>
    <w:rsid w:val="000D0F12"/>
    <w:rsid w:val="000D4797"/>
    <w:rsid w:val="000D548F"/>
    <w:rsid w:val="000D796E"/>
    <w:rsid w:val="000E04C6"/>
    <w:rsid w:val="000E0527"/>
    <w:rsid w:val="000E0FEC"/>
    <w:rsid w:val="000E1D0E"/>
    <w:rsid w:val="000E1E92"/>
    <w:rsid w:val="000E40DF"/>
    <w:rsid w:val="000E65B9"/>
    <w:rsid w:val="000E73BD"/>
    <w:rsid w:val="000E73D0"/>
    <w:rsid w:val="000F06D6"/>
    <w:rsid w:val="000F0EB1"/>
    <w:rsid w:val="000F1106"/>
    <w:rsid w:val="000F347B"/>
    <w:rsid w:val="000F3BE9"/>
    <w:rsid w:val="000F3E10"/>
    <w:rsid w:val="000F3F2C"/>
    <w:rsid w:val="000F3F6C"/>
    <w:rsid w:val="000F64C0"/>
    <w:rsid w:val="000F6848"/>
    <w:rsid w:val="000F6DF3"/>
    <w:rsid w:val="001005FF"/>
    <w:rsid w:val="00101282"/>
    <w:rsid w:val="0010234E"/>
    <w:rsid w:val="00102DAE"/>
    <w:rsid w:val="00104755"/>
    <w:rsid w:val="001062FB"/>
    <w:rsid w:val="001063E6"/>
    <w:rsid w:val="00106FDA"/>
    <w:rsid w:val="00107D67"/>
    <w:rsid w:val="001117B2"/>
    <w:rsid w:val="00111CD8"/>
    <w:rsid w:val="00112F24"/>
    <w:rsid w:val="0011387E"/>
    <w:rsid w:val="00113ABC"/>
    <w:rsid w:val="00113CF4"/>
    <w:rsid w:val="001142FD"/>
    <w:rsid w:val="001153EA"/>
    <w:rsid w:val="00115643"/>
    <w:rsid w:val="00116712"/>
    <w:rsid w:val="00116765"/>
    <w:rsid w:val="001219F5"/>
    <w:rsid w:val="00121A20"/>
    <w:rsid w:val="00121CC4"/>
    <w:rsid w:val="00122826"/>
    <w:rsid w:val="0012377F"/>
    <w:rsid w:val="00124314"/>
    <w:rsid w:val="001247B8"/>
    <w:rsid w:val="00126B4A"/>
    <w:rsid w:val="0012729E"/>
    <w:rsid w:val="00127B56"/>
    <w:rsid w:val="001315F7"/>
    <w:rsid w:val="00132D42"/>
    <w:rsid w:val="00132FD0"/>
    <w:rsid w:val="00133283"/>
    <w:rsid w:val="00133D6C"/>
    <w:rsid w:val="001344C0"/>
    <w:rsid w:val="001346FA"/>
    <w:rsid w:val="00135252"/>
    <w:rsid w:val="001366CB"/>
    <w:rsid w:val="0013732D"/>
    <w:rsid w:val="001373C0"/>
    <w:rsid w:val="00137AB5"/>
    <w:rsid w:val="00137F0B"/>
    <w:rsid w:val="001412DC"/>
    <w:rsid w:val="001449C0"/>
    <w:rsid w:val="00145B52"/>
    <w:rsid w:val="00150CC3"/>
    <w:rsid w:val="00151E23"/>
    <w:rsid w:val="001526E0"/>
    <w:rsid w:val="001551B5"/>
    <w:rsid w:val="00160030"/>
    <w:rsid w:val="001608D4"/>
    <w:rsid w:val="0016255C"/>
    <w:rsid w:val="00162CA2"/>
    <w:rsid w:val="001659C1"/>
    <w:rsid w:val="00165D02"/>
    <w:rsid w:val="0017066C"/>
    <w:rsid w:val="00170FC0"/>
    <w:rsid w:val="00170FFA"/>
    <w:rsid w:val="00171C37"/>
    <w:rsid w:val="00172067"/>
    <w:rsid w:val="00172E2D"/>
    <w:rsid w:val="00173A8E"/>
    <w:rsid w:val="00174E33"/>
    <w:rsid w:val="00175948"/>
    <w:rsid w:val="00175BDF"/>
    <w:rsid w:val="00177470"/>
    <w:rsid w:val="00177795"/>
    <w:rsid w:val="00177806"/>
    <w:rsid w:val="00180095"/>
    <w:rsid w:val="00180098"/>
    <w:rsid w:val="001810F7"/>
    <w:rsid w:val="0018143F"/>
    <w:rsid w:val="00182D40"/>
    <w:rsid w:val="001846DB"/>
    <w:rsid w:val="00186C99"/>
    <w:rsid w:val="00187207"/>
    <w:rsid w:val="00187BE6"/>
    <w:rsid w:val="001907DB"/>
    <w:rsid w:val="00190AC1"/>
    <w:rsid w:val="00191922"/>
    <w:rsid w:val="0019341A"/>
    <w:rsid w:val="001938AE"/>
    <w:rsid w:val="00195055"/>
    <w:rsid w:val="00195D27"/>
    <w:rsid w:val="001978B0"/>
    <w:rsid w:val="001978DD"/>
    <w:rsid w:val="00197DF9"/>
    <w:rsid w:val="001A1987"/>
    <w:rsid w:val="001A2564"/>
    <w:rsid w:val="001A3E1F"/>
    <w:rsid w:val="001A4C63"/>
    <w:rsid w:val="001A6173"/>
    <w:rsid w:val="001A6CBA"/>
    <w:rsid w:val="001B0D97"/>
    <w:rsid w:val="001B207A"/>
    <w:rsid w:val="001B3063"/>
    <w:rsid w:val="001B5A5D"/>
    <w:rsid w:val="001B7FEA"/>
    <w:rsid w:val="001C0495"/>
    <w:rsid w:val="001C1CE5"/>
    <w:rsid w:val="001C3D2A"/>
    <w:rsid w:val="001C40ED"/>
    <w:rsid w:val="001C413A"/>
    <w:rsid w:val="001C5ECC"/>
    <w:rsid w:val="001C7608"/>
    <w:rsid w:val="001C7BC9"/>
    <w:rsid w:val="001D0C42"/>
    <w:rsid w:val="001D0CDC"/>
    <w:rsid w:val="001D2F33"/>
    <w:rsid w:val="001D335D"/>
    <w:rsid w:val="001D3794"/>
    <w:rsid w:val="001D51BA"/>
    <w:rsid w:val="001D55A9"/>
    <w:rsid w:val="001D5804"/>
    <w:rsid w:val="001D6342"/>
    <w:rsid w:val="001D6D53"/>
    <w:rsid w:val="001D6DD9"/>
    <w:rsid w:val="001D723B"/>
    <w:rsid w:val="001E0264"/>
    <w:rsid w:val="001E0679"/>
    <w:rsid w:val="001E3385"/>
    <w:rsid w:val="001E52CC"/>
    <w:rsid w:val="001E58E2"/>
    <w:rsid w:val="001E7742"/>
    <w:rsid w:val="001E7957"/>
    <w:rsid w:val="001E7AED"/>
    <w:rsid w:val="001F0A4D"/>
    <w:rsid w:val="001F10F6"/>
    <w:rsid w:val="001F3916"/>
    <w:rsid w:val="001F5321"/>
    <w:rsid w:val="001F54C5"/>
    <w:rsid w:val="001F64A3"/>
    <w:rsid w:val="001F662C"/>
    <w:rsid w:val="001F67D3"/>
    <w:rsid w:val="001F7074"/>
    <w:rsid w:val="001F70CC"/>
    <w:rsid w:val="001F7F2E"/>
    <w:rsid w:val="002001BE"/>
    <w:rsid w:val="00200490"/>
    <w:rsid w:val="00200656"/>
    <w:rsid w:val="00201F08"/>
    <w:rsid w:val="00201F3A"/>
    <w:rsid w:val="0020240C"/>
    <w:rsid w:val="00203F96"/>
    <w:rsid w:val="002040D8"/>
    <w:rsid w:val="002069B2"/>
    <w:rsid w:val="00206BE3"/>
    <w:rsid w:val="00206E23"/>
    <w:rsid w:val="002072FD"/>
    <w:rsid w:val="00207FA3"/>
    <w:rsid w:val="002113E6"/>
    <w:rsid w:val="00211428"/>
    <w:rsid w:val="00212611"/>
    <w:rsid w:val="0021441C"/>
    <w:rsid w:val="00214DA8"/>
    <w:rsid w:val="00215423"/>
    <w:rsid w:val="002158FA"/>
    <w:rsid w:val="0021605D"/>
    <w:rsid w:val="0021608A"/>
    <w:rsid w:val="002162E0"/>
    <w:rsid w:val="002167EA"/>
    <w:rsid w:val="00220600"/>
    <w:rsid w:val="002207BC"/>
    <w:rsid w:val="00221579"/>
    <w:rsid w:val="002224DB"/>
    <w:rsid w:val="00223FCB"/>
    <w:rsid w:val="00224E65"/>
    <w:rsid w:val="00224E93"/>
    <w:rsid w:val="002252C3"/>
    <w:rsid w:val="00225C54"/>
    <w:rsid w:val="00226063"/>
    <w:rsid w:val="002302F7"/>
    <w:rsid w:val="00230765"/>
    <w:rsid w:val="002308F8"/>
    <w:rsid w:val="00230BCB"/>
    <w:rsid w:val="00230C68"/>
    <w:rsid w:val="00230C86"/>
    <w:rsid w:val="0023168C"/>
    <w:rsid w:val="002319E4"/>
    <w:rsid w:val="00232349"/>
    <w:rsid w:val="00232FEE"/>
    <w:rsid w:val="00233025"/>
    <w:rsid w:val="00235466"/>
    <w:rsid w:val="00235632"/>
    <w:rsid w:val="002357E0"/>
    <w:rsid w:val="00235872"/>
    <w:rsid w:val="00240924"/>
    <w:rsid w:val="00240B0A"/>
    <w:rsid w:val="00241559"/>
    <w:rsid w:val="00241EE8"/>
    <w:rsid w:val="002435B3"/>
    <w:rsid w:val="002458EB"/>
    <w:rsid w:val="00247993"/>
    <w:rsid w:val="002500C8"/>
    <w:rsid w:val="002509A5"/>
    <w:rsid w:val="00252431"/>
    <w:rsid w:val="00252CD7"/>
    <w:rsid w:val="002541A5"/>
    <w:rsid w:val="00256302"/>
    <w:rsid w:val="00256492"/>
    <w:rsid w:val="00257543"/>
    <w:rsid w:val="00260C58"/>
    <w:rsid w:val="002617E7"/>
    <w:rsid w:val="00264228"/>
    <w:rsid w:val="00264334"/>
    <w:rsid w:val="0026473E"/>
    <w:rsid w:val="00266214"/>
    <w:rsid w:val="0026752B"/>
    <w:rsid w:val="00267814"/>
    <w:rsid w:val="00267C83"/>
    <w:rsid w:val="00270022"/>
    <w:rsid w:val="00270964"/>
    <w:rsid w:val="0027144F"/>
    <w:rsid w:val="00271EE9"/>
    <w:rsid w:val="00271F3A"/>
    <w:rsid w:val="002726CC"/>
    <w:rsid w:val="00273278"/>
    <w:rsid w:val="002737F4"/>
    <w:rsid w:val="00276B7F"/>
    <w:rsid w:val="00276F55"/>
    <w:rsid w:val="0027732A"/>
    <w:rsid w:val="00277ABB"/>
    <w:rsid w:val="002805F5"/>
    <w:rsid w:val="00280751"/>
    <w:rsid w:val="00280DD1"/>
    <w:rsid w:val="00281D40"/>
    <w:rsid w:val="0028280A"/>
    <w:rsid w:val="00282B8E"/>
    <w:rsid w:val="00282C4C"/>
    <w:rsid w:val="00284305"/>
    <w:rsid w:val="0028604A"/>
    <w:rsid w:val="00286ACD"/>
    <w:rsid w:val="002874C0"/>
    <w:rsid w:val="00287838"/>
    <w:rsid w:val="002907B5"/>
    <w:rsid w:val="0029159A"/>
    <w:rsid w:val="00292EB7"/>
    <w:rsid w:val="00293132"/>
    <w:rsid w:val="00294B41"/>
    <w:rsid w:val="00296227"/>
    <w:rsid w:val="00296F44"/>
    <w:rsid w:val="0029733D"/>
    <w:rsid w:val="0029777D"/>
    <w:rsid w:val="002A055E"/>
    <w:rsid w:val="002A0B6A"/>
    <w:rsid w:val="002A1316"/>
    <w:rsid w:val="002A1D4E"/>
    <w:rsid w:val="002A247E"/>
    <w:rsid w:val="002A2869"/>
    <w:rsid w:val="002A376A"/>
    <w:rsid w:val="002A3C5F"/>
    <w:rsid w:val="002A3E3C"/>
    <w:rsid w:val="002A4183"/>
    <w:rsid w:val="002A45A1"/>
    <w:rsid w:val="002A4EBB"/>
    <w:rsid w:val="002A5168"/>
    <w:rsid w:val="002A5D46"/>
    <w:rsid w:val="002A614B"/>
    <w:rsid w:val="002A69EE"/>
    <w:rsid w:val="002A79F3"/>
    <w:rsid w:val="002B0409"/>
    <w:rsid w:val="002B1702"/>
    <w:rsid w:val="002B24D6"/>
    <w:rsid w:val="002B64CF"/>
    <w:rsid w:val="002B73E5"/>
    <w:rsid w:val="002C3E6B"/>
    <w:rsid w:val="002C41E6"/>
    <w:rsid w:val="002C41ED"/>
    <w:rsid w:val="002C49E4"/>
    <w:rsid w:val="002C6F10"/>
    <w:rsid w:val="002C7A4B"/>
    <w:rsid w:val="002C7C9E"/>
    <w:rsid w:val="002D071A"/>
    <w:rsid w:val="002D081E"/>
    <w:rsid w:val="002D18D4"/>
    <w:rsid w:val="002D34B2"/>
    <w:rsid w:val="002D3AC9"/>
    <w:rsid w:val="002D4F01"/>
    <w:rsid w:val="002D61FA"/>
    <w:rsid w:val="002D66E1"/>
    <w:rsid w:val="002D7212"/>
    <w:rsid w:val="002D7637"/>
    <w:rsid w:val="002D7A67"/>
    <w:rsid w:val="002E0987"/>
    <w:rsid w:val="002E17F2"/>
    <w:rsid w:val="002E2029"/>
    <w:rsid w:val="002E3C2F"/>
    <w:rsid w:val="002E60E2"/>
    <w:rsid w:val="002E6EE0"/>
    <w:rsid w:val="002E753D"/>
    <w:rsid w:val="002E7CAE"/>
    <w:rsid w:val="002F1AD5"/>
    <w:rsid w:val="002F2771"/>
    <w:rsid w:val="002F2BC1"/>
    <w:rsid w:val="002F37A9"/>
    <w:rsid w:val="002F3C5F"/>
    <w:rsid w:val="002F4FF4"/>
    <w:rsid w:val="002F66BA"/>
    <w:rsid w:val="00300A0D"/>
    <w:rsid w:val="00301623"/>
    <w:rsid w:val="00301CE6"/>
    <w:rsid w:val="003022D6"/>
    <w:rsid w:val="0030256B"/>
    <w:rsid w:val="003026FB"/>
    <w:rsid w:val="0030272F"/>
    <w:rsid w:val="00302ADB"/>
    <w:rsid w:val="0030501F"/>
    <w:rsid w:val="00306359"/>
    <w:rsid w:val="00307220"/>
    <w:rsid w:val="00307BA1"/>
    <w:rsid w:val="00311702"/>
    <w:rsid w:val="00311E82"/>
    <w:rsid w:val="00313FD6"/>
    <w:rsid w:val="00314323"/>
    <w:rsid w:val="003143BD"/>
    <w:rsid w:val="003162CE"/>
    <w:rsid w:val="00316C92"/>
    <w:rsid w:val="003203AA"/>
    <w:rsid w:val="003203ED"/>
    <w:rsid w:val="0032122C"/>
    <w:rsid w:val="00322C9F"/>
    <w:rsid w:val="00322D02"/>
    <w:rsid w:val="00323BE8"/>
    <w:rsid w:val="00324D23"/>
    <w:rsid w:val="00325BCD"/>
    <w:rsid w:val="0033134D"/>
    <w:rsid w:val="00331751"/>
    <w:rsid w:val="00331A22"/>
    <w:rsid w:val="00332A07"/>
    <w:rsid w:val="00333EA7"/>
    <w:rsid w:val="00334579"/>
    <w:rsid w:val="003352BD"/>
    <w:rsid w:val="00335858"/>
    <w:rsid w:val="00336BDA"/>
    <w:rsid w:val="00340A76"/>
    <w:rsid w:val="00342AFB"/>
    <w:rsid w:val="00342BD7"/>
    <w:rsid w:val="00343A07"/>
    <w:rsid w:val="00345DB9"/>
    <w:rsid w:val="003462A2"/>
    <w:rsid w:val="00346DB5"/>
    <w:rsid w:val="003477B1"/>
    <w:rsid w:val="003503F4"/>
    <w:rsid w:val="00351692"/>
    <w:rsid w:val="00352D31"/>
    <w:rsid w:val="0035491B"/>
    <w:rsid w:val="00354E94"/>
    <w:rsid w:val="003554E1"/>
    <w:rsid w:val="00355AEB"/>
    <w:rsid w:val="00355CBF"/>
    <w:rsid w:val="0035645E"/>
    <w:rsid w:val="00357219"/>
    <w:rsid w:val="00357380"/>
    <w:rsid w:val="003602D9"/>
    <w:rsid w:val="003604CE"/>
    <w:rsid w:val="00360D25"/>
    <w:rsid w:val="00361547"/>
    <w:rsid w:val="00361899"/>
    <w:rsid w:val="0036315B"/>
    <w:rsid w:val="00363D8B"/>
    <w:rsid w:val="00365D2F"/>
    <w:rsid w:val="003664DD"/>
    <w:rsid w:val="003679D9"/>
    <w:rsid w:val="00370E47"/>
    <w:rsid w:val="003742AC"/>
    <w:rsid w:val="00377CE1"/>
    <w:rsid w:val="00377FC9"/>
    <w:rsid w:val="003823D2"/>
    <w:rsid w:val="0038482E"/>
    <w:rsid w:val="003849B2"/>
    <w:rsid w:val="00385A42"/>
    <w:rsid w:val="00385BF0"/>
    <w:rsid w:val="00386984"/>
    <w:rsid w:val="003910F2"/>
    <w:rsid w:val="003939FF"/>
    <w:rsid w:val="00393B2E"/>
    <w:rsid w:val="00396481"/>
    <w:rsid w:val="003A0D25"/>
    <w:rsid w:val="003A2223"/>
    <w:rsid w:val="003A2A0F"/>
    <w:rsid w:val="003A34D7"/>
    <w:rsid w:val="003A45A1"/>
    <w:rsid w:val="003A4645"/>
    <w:rsid w:val="003A5B0A"/>
    <w:rsid w:val="003A6049"/>
    <w:rsid w:val="003A6BAC"/>
    <w:rsid w:val="003A7EF3"/>
    <w:rsid w:val="003B0180"/>
    <w:rsid w:val="003B0731"/>
    <w:rsid w:val="003B159C"/>
    <w:rsid w:val="003B24BD"/>
    <w:rsid w:val="003B362C"/>
    <w:rsid w:val="003B369F"/>
    <w:rsid w:val="003B36A3"/>
    <w:rsid w:val="003B39B9"/>
    <w:rsid w:val="003B411C"/>
    <w:rsid w:val="003B460B"/>
    <w:rsid w:val="003B6F14"/>
    <w:rsid w:val="003B7D2A"/>
    <w:rsid w:val="003B7FE5"/>
    <w:rsid w:val="003C03CA"/>
    <w:rsid w:val="003C0418"/>
    <w:rsid w:val="003C11C8"/>
    <w:rsid w:val="003C23CC"/>
    <w:rsid w:val="003C2702"/>
    <w:rsid w:val="003C3582"/>
    <w:rsid w:val="003C36DB"/>
    <w:rsid w:val="003C5EF7"/>
    <w:rsid w:val="003C6A7B"/>
    <w:rsid w:val="003C6BDC"/>
    <w:rsid w:val="003C6DA5"/>
    <w:rsid w:val="003C7806"/>
    <w:rsid w:val="003D109F"/>
    <w:rsid w:val="003D2478"/>
    <w:rsid w:val="003D3C45"/>
    <w:rsid w:val="003D46F2"/>
    <w:rsid w:val="003D5B1F"/>
    <w:rsid w:val="003D5EF8"/>
    <w:rsid w:val="003D6FDB"/>
    <w:rsid w:val="003E15FA"/>
    <w:rsid w:val="003E19D7"/>
    <w:rsid w:val="003E2D50"/>
    <w:rsid w:val="003E4C30"/>
    <w:rsid w:val="003E55E4"/>
    <w:rsid w:val="003E7215"/>
    <w:rsid w:val="003E74E3"/>
    <w:rsid w:val="003F05C7"/>
    <w:rsid w:val="003F2CD4"/>
    <w:rsid w:val="003F326A"/>
    <w:rsid w:val="003F42AD"/>
    <w:rsid w:val="003F5314"/>
    <w:rsid w:val="003F5F26"/>
    <w:rsid w:val="003F5F82"/>
    <w:rsid w:val="003F61C1"/>
    <w:rsid w:val="003F6AE2"/>
    <w:rsid w:val="003F6BBE"/>
    <w:rsid w:val="003F7CA9"/>
    <w:rsid w:val="004000E8"/>
    <w:rsid w:val="004015C1"/>
    <w:rsid w:val="00402E2B"/>
    <w:rsid w:val="0040512B"/>
    <w:rsid w:val="00405CA5"/>
    <w:rsid w:val="0040745F"/>
    <w:rsid w:val="004074CE"/>
    <w:rsid w:val="00407CD3"/>
    <w:rsid w:val="00410134"/>
    <w:rsid w:val="00410B72"/>
    <w:rsid w:val="00410F18"/>
    <w:rsid w:val="00411545"/>
    <w:rsid w:val="0041263E"/>
    <w:rsid w:val="00413AAC"/>
    <w:rsid w:val="0041731D"/>
    <w:rsid w:val="00421105"/>
    <w:rsid w:val="004242F4"/>
    <w:rsid w:val="004268ED"/>
    <w:rsid w:val="00426BB8"/>
    <w:rsid w:val="00426D86"/>
    <w:rsid w:val="00427248"/>
    <w:rsid w:val="00427382"/>
    <w:rsid w:val="00431A85"/>
    <w:rsid w:val="0043252E"/>
    <w:rsid w:val="00433819"/>
    <w:rsid w:val="00436AE5"/>
    <w:rsid w:val="00437447"/>
    <w:rsid w:val="00440D8D"/>
    <w:rsid w:val="00441532"/>
    <w:rsid w:val="00441A92"/>
    <w:rsid w:val="00444F56"/>
    <w:rsid w:val="00446488"/>
    <w:rsid w:val="004517AA"/>
    <w:rsid w:val="00451B19"/>
    <w:rsid w:val="00451DDB"/>
    <w:rsid w:val="00452CAC"/>
    <w:rsid w:val="00452F35"/>
    <w:rsid w:val="00453D71"/>
    <w:rsid w:val="00455236"/>
    <w:rsid w:val="00455FA4"/>
    <w:rsid w:val="00456C2C"/>
    <w:rsid w:val="00457022"/>
    <w:rsid w:val="00457565"/>
    <w:rsid w:val="004576F2"/>
    <w:rsid w:val="00457B71"/>
    <w:rsid w:val="004669E2"/>
    <w:rsid w:val="00470243"/>
    <w:rsid w:val="00470C31"/>
    <w:rsid w:val="00472C76"/>
    <w:rsid w:val="004734D0"/>
    <w:rsid w:val="00474E9C"/>
    <w:rsid w:val="0047548E"/>
    <w:rsid w:val="0047556B"/>
    <w:rsid w:val="00475C24"/>
    <w:rsid w:val="00475E9D"/>
    <w:rsid w:val="00476B1C"/>
    <w:rsid w:val="00477768"/>
    <w:rsid w:val="00481928"/>
    <w:rsid w:val="00481F72"/>
    <w:rsid w:val="00484A2D"/>
    <w:rsid w:val="0048677C"/>
    <w:rsid w:val="004868EE"/>
    <w:rsid w:val="00486BCC"/>
    <w:rsid w:val="00490FF2"/>
    <w:rsid w:val="00492386"/>
    <w:rsid w:val="004926BE"/>
    <w:rsid w:val="00492810"/>
    <w:rsid w:val="00492BC5"/>
    <w:rsid w:val="00493F0C"/>
    <w:rsid w:val="00495217"/>
    <w:rsid w:val="0049533A"/>
    <w:rsid w:val="004964F1"/>
    <w:rsid w:val="0049717D"/>
    <w:rsid w:val="004A16BC"/>
    <w:rsid w:val="004A2B94"/>
    <w:rsid w:val="004A3060"/>
    <w:rsid w:val="004A307F"/>
    <w:rsid w:val="004A30DF"/>
    <w:rsid w:val="004A40D3"/>
    <w:rsid w:val="004A4C34"/>
    <w:rsid w:val="004A5412"/>
    <w:rsid w:val="004A6279"/>
    <w:rsid w:val="004A723D"/>
    <w:rsid w:val="004A7A73"/>
    <w:rsid w:val="004B288E"/>
    <w:rsid w:val="004B2D18"/>
    <w:rsid w:val="004B3CEE"/>
    <w:rsid w:val="004B3D7A"/>
    <w:rsid w:val="004B5464"/>
    <w:rsid w:val="004B7B67"/>
    <w:rsid w:val="004B7C0C"/>
    <w:rsid w:val="004C0E99"/>
    <w:rsid w:val="004C1C7D"/>
    <w:rsid w:val="004C2DB9"/>
    <w:rsid w:val="004C3898"/>
    <w:rsid w:val="004C3CC3"/>
    <w:rsid w:val="004C4954"/>
    <w:rsid w:val="004C6A30"/>
    <w:rsid w:val="004D2F40"/>
    <w:rsid w:val="004D36B1"/>
    <w:rsid w:val="004D73EE"/>
    <w:rsid w:val="004D7EBD"/>
    <w:rsid w:val="004E2680"/>
    <w:rsid w:val="004E28F9"/>
    <w:rsid w:val="004E2FBE"/>
    <w:rsid w:val="004E462E"/>
    <w:rsid w:val="004E56DC"/>
    <w:rsid w:val="004E76F4"/>
    <w:rsid w:val="004F0B4E"/>
    <w:rsid w:val="004F0B6C"/>
    <w:rsid w:val="004F2078"/>
    <w:rsid w:val="004F4DA3"/>
    <w:rsid w:val="004F561C"/>
    <w:rsid w:val="005022A7"/>
    <w:rsid w:val="00502748"/>
    <w:rsid w:val="00506557"/>
    <w:rsid w:val="00506624"/>
    <w:rsid w:val="0050677A"/>
    <w:rsid w:val="005068E5"/>
    <w:rsid w:val="00506B03"/>
    <w:rsid w:val="0051045A"/>
    <w:rsid w:val="00510625"/>
    <w:rsid w:val="005108D8"/>
    <w:rsid w:val="005116F9"/>
    <w:rsid w:val="005139EC"/>
    <w:rsid w:val="00513E19"/>
    <w:rsid w:val="005141A8"/>
    <w:rsid w:val="005153A7"/>
    <w:rsid w:val="0051743E"/>
    <w:rsid w:val="00521022"/>
    <w:rsid w:val="005219CF"/>
    <w:rsid w:val="00522220"/>
    <w:rsid w:val="005223F0"/>
    <w:rsid w:val="005236CE"/>
    <w:rsid w:val="00524933"/>
    <w:rsid w:val="00524DF2"/>
    <w:rsid w:val="00526197"/>
    <w:rsid w:val="00526B75"/>
    <w:rsid w:val="005303F9"/>
    <w:rsid w:val="00530A14"/>
    <w:rsid w:val="00530DC3"/>
    <w:rsid w:val="005325BC"/>
    <w:rsid w:val="00533566"/>
    <w:rsid w:val="00534B59"/>
    <w:rsid w:val="00534E91"/>
    <w:rsid w:val="00535169"/>
    <w:rsid w:val="005359E0"/>
    <w:rsid w:val="00536562"/>
    <w:rsid w:val="00536759"/>
    <w:rsid w:val="00537C62"/>
    <w:rsid w:val="00540176"/>
    <w:rsid w:val="00540AE8"/>
    <w:rsid w:val="00541679"/>
    <w:rsid w:val="0054313F"/>
    <w:rsid w:val="0054386C"/>
    <w:rsid w:val="005450C2"/>
    <w:rsid w:val="00546970"/>
    <w:rsid w:val="00547923"/>
    <w:rsid w:val="005540BA"/>
    <w:rsid w:val="00554319"/>
    <w:rsid w:val="00554B67"/>
    <w:rsid w:val="00554E19"/>
    <w:rsid w:val="00556B0F"/>
    <w:rsid w:val="0056121F"/>
    <w:rsid w:val="00565C24"/>
    <w:rsid w:val="00567704"/>
    <w:rsid w:val="00570192"/>
    <w:rsid w:val="00570EDF"/>
    <w:rsid w:val="0057155D"/>
    <w:rsid w:val="00571795"/>
    <w:rsid w:val="00572505"/>
    <w:rsid w:val="00573A3D"/>
    <w:rsid w:val="00575880"/>
    <w:rsid w:val="005759D9"/>
    <w:rsid w:val="005772BA"/>
    <w:rsid w:val="005801D7"/>
    <w:rsid w:val="0058077C"/>
    <w:rsid w:val="00580899"/>
    <w:rsid w:val="00582809"/>
    <w:rsid w:val="00583501"/>
    <w:rsid w:val="00583B1A"/>
    <w:rsid w:val="00584DA2"/>
    <w:rsid w:val="00584DE6"/>
    <w:rsid w:val="00585591"/>
    <w:rsid w:val="0058798C"/>
    <w:rsid w:val="005900FA"/>
    <w:rsid w:val="005907F1"/>
    <w:rsid w:val="005911FF"/>
    <w:rsid w:val="005916F3"/>
    <w:rsid w:val="00592366"/>
    <w:rsid w:val="00593487"/>
    <w:rsid w:val="005935A4"/>
    <w:rsid w:val="005948C2"/>
    <w:rsid w:val="00594E3A"/>
    <w:rsid w:val="005951CF"/>
    <w:rsid w:val="005954F3"/>
    <w:rsid w:val="00595DCA"/>
    <w:rsid w:val="00597092"/>
    <w:rsid w:val="0059779B"/>
    <w:rsid w:val="005A04A5"/>
    <w:rsid w:val="005A209A"/>
    <w:rsid w:val="005A21FE"/>
    <w:rsid w:val="005A662D"/>
    <w:rsid w:val="005B1316"/>
    <w:rsid w:val="005B17AC"/>
    <w:rsid w:val="005B35D7"/>
    <w:rsid w:val="005B392A"/>
    <w:rsid w:val="005B3AA3"/>
    <w:rsid w:val="005B591A"/>
    <w:rsid w:val="005B6F83"/>
    <w:rsid w:val="005B785B"/>
    <w:rsid w:val="005C09D7"/>
    <w:rsid w:val="005C4D22"/>
    <w:rsid w:val="005C4FCD"/>
    <w:rsid w:val="005C5F5A"/>
    <w:rsid w:val="005C628C"/>
    <w:rsid w:val="005C74FB"/>
    <w:rsid w:val="005D1406"/>
    <w:rsid w:val="005D1602"/>
    <w:rsid w:val="005D3A04"/>
    <w:rsid w:val="005D4CDB"/>
    <w:rsid w:val="005D691D"/>
    <w:rsid w:val="005D6D76"/>
    <w:rsid w:val="005D794D"/>
    <w:rsid w:val="005D7BCA"/>
    <w:rsid w:val="005E0347"/>
    <w:rsid w:val="005E09C0"/>
    <w:rsid w:val="005E1653"/>
    <w:rsid w:val="005E37CA"/>
    <w:rsid w:val="005E385F"/>
    <w:rsid w:val="005E38E6"/>
    <w:rsid w:val="005E5B81"/>
    <w:rsid w:val="005E6890"/>
    <w:rsid w:val="005F2CB1"/>
    <w:rsid w:val="005F3025"/>
    <w:rsid w:val="005F3BAA"/>
    <w:rsid w:val="005F42CD"/>
    <w:rsid w:val="005F4AB4"/>
    <w:rsid w:val="005F530F"/>
    <w:rsid w:val="005F5DE7"/>
    <w:rsid w:val="005F618C"/>
    <w:rsid w:val="005F70BD"/>
    <w:rsid w:val="005F7187"/>
    <w:rsid w:val="005F73CC"/>
    <w:rsid w:val="005F76B7"/>
    <w:rsid w:val="006001AB"/>
    <w:rsid w:val="00600564"/>
    <w:rsid w:val="0060283C"/>
    <w:rsid w:val="00603E1B"/>
    <w:rsid w:val="00604F14"/>
    <w:rsid w:val="00606427"/>
    <w:rsid w:val="00607F52"/>
    <w:rsid w:val="00610220"/>
    <w:rsid w:val="0061128F"/>
    <w:rsid w:val="006118CA"/>
    <w:rsid w:val="00611B83"/>
    <w:rsid w:val="00613257"/>
    <w:rsid w:val="006141DA"/>
    <w:rsid w:val="00614C20"/>
    <w:rsid w:val="00614E8E"/>
    <w:rsid w:val="00617FCC"/>
    <w:rsid w:val="00620A71"/>
    <w:rsid w:val="00620D80"/>
    <w:rsid w:val="006215AF"/>
    <w:rsid w:val="00621B2C"/>
    <w:rsid w:val="006234A6"/>
    <w:rsid w:val="00623DA4"/>
    <w:rsid w:val="0062427B"/>
    <w:rsid w:val="006262A8"/>
    <w:rsid w:val="00630001"/>
    <w:rsid w:val="006311B3"/>
    <w:rsid w:val="00631439"/>
    <w:rsid w:val="00631CA0"/>
    <w:rsid w:val="0063284C"/>
    <w:rsid w:val="00633648"/>
    <w:rsid w:val="00636398"/>
    <w:rsid w:val="006368D3"/>
    <w:rsid w:val="006377EC"/>
    <w:rsid w:val="00640955"/>
    <w:rsid w:val="0064151F"/>
    <w:rsid w:val="00641533"/>
    <w:rsid w:val="0064208D"/>
    <w:rsid w:val="006427E2"/>
    <w:rsid w:val="00642D5F"/>
    <w:rsid w:val="00643475"/>
    <w:rsid w:val="0064372F"/>
    <w:rsid w:val="0064396A"/>
    <w:rsid w:val="006461B8"/>
    <w:rsid w:val="0064624E"/>
    <w:rsid w:val="00647AC1"/>
    <w:rsid w:val="00647E29"/>
    <w:rsid w:val="00650081"/>
    <w:rsid w:val="0065056A"/>
    <w:rsid w:val="006507E9"/>
    <w:rsid w:val="00650AB9"/>
    <w:rsid w:val="006518C0"/>
    <w:rsid w:val="00651B54"/>
    <w:rsid w:val="00655400"/>
    <w:rsid w:val="00655733"/>
    <w:rsid w:val="00655ACD"/>
    <w:rsid w:val="006563BE"/>
    <w:rsid w:val="00656A92"/>
    <w:rsid w:val="00656DDE"/>
    <w:rsid w:val="0066011D"/>
    <w:rsid w:val="006607C0"/>
    <w:rsid w:val="00660C5E"/>
    <w:rsid w:val="006613A6"/>
    <w:rsid w:val="006627A2"/>
    <w:rsid w:val="006634E6"/>
    <w:rsid w:val="00663BD9"/>
    <w:rsid w:val="006642D1"/>
    <w:rsid w:val="006655EE"/>
    <w:rsid w:val="00665EE9"/>
    <w:rsid w:val="00666C6D"/>
    <w:rsid w:val="00667EE7"/>
    <w:rsid w:val="00670922"/>
    <w:rsid w:val="00670BE1"/>
    <w:rsid w:val="0067218F"/>
    <w:rsid w:val="00672E1F"/>
    <w:rsid w:val="00673AE8"/>
    <w:rsid w:val="006741F2"/>
    <w:rsid w:val="00674CC3"/>
    <w:rsid w:val="00675493"/>
    <w:rsid w:val="0067570E"/>
    <w:rsid w:val="00675C72"/>
    <w:rsid w:val="00676130"/>
    <w:rsid w:val="0067617F"/>
    <w:rsid w:val="006771D5"/>
    <w:rsid w:val="006771F9"/>
    <w:rsid w:val="006776D7"/>
    <w:rsid w:val="00680CC0"/>
    <w:rsid w:val="00681003"/>
    <w:rsid w:val="00681636"/>
    <w:rsid w:val="006817C9"/>
    <w:rsid w:val="00683186"/>
    <w:rsid w:val="00683C7F"/>
    <w:rsid w:val="00683ECE"/>
    <w:rsid w:val="006846D4"/>
    <w:rsid w:val="006932B9"/>
    <w:rsid w:val="00693BFA"/>
    <w:rsid w:val="00693C54"/>
    <w:rsid w:val="006955AA"/>
    <w:rsid w:val="00695FC2"/>
    <w:rsid w:val="0069626D"/>
    <w:rsid w:val="00696949"/>
    <w:rsid w:val="00696ADC"/>
    <w:rsid w:val="00697052"/>
    <w:rsid w:val="0069771A"/>
    <w:rsid w:val="006A0107"/>
    <w:rsid w:val="006A0BFB"/>
    <w:rsid w:val="006A13FF"/>
    <w:rsid w:val="006A1E08"/>
    <w:rsid w:val="006A2706"/>
    <w:rsid w:val="006A2C67"/>
    <w:rsid w:val="006A46FB"/>
    <w:rsid w:val="006A5223"/>
    <w:rsid w:val="006A5E28"/>
    <w:rsid w:val="006A68F1"/>
    <w:rsid w:val="006A697B"/>
    <w:rsid w:val="006A7AFF"/>
    <w:rsid w:val="006B10D8"/>
    <w:rsid w:val="006B152E"/>
    <w:rsid w:val="006B1816"/>
    <w:rsid w:val="006B2099"/>
    <w:rsid w:val="006B25E6"/>
    <w:rsid w:val="006B2EA9"/>
    <w:rsid w:val="006B3D70"/>
    <w:rsid w:val="006B50CF"/>
    <w:rsid w:val="006B6AE8"/>
    <w:rsid w:val="006B6B19"/>
    <w:rsid w:val="006B7ED9"/>
    <w:rsid w:val="006C03B8"/>
    <w:rsid w:val="006C0A6A"/>
    <w:rsid w:val="006C0CFA"/>
    <w:rsid w:val="006C3813"/>
    <w:rsid w:val="006C491E"/>
    <w:rsid w:val="006C5EC9"/>
    <w:rsid w:val="006C5F08"/>
    <w:rsid w:val="006C6059"/>
    <w:rsid w:val="006C6C6A"/>
    <w:rsid w:val="006C70DD"/>
    <w:rsid w:val="006C7522"/>
    <w:rsid w:val="006C7BF1"/>
    <w:rsid w:val="006D168F"/>
    <w:rsid w:val="006D1E9F"/>
    <w:rsid w:val="006D3B4F"/>
    <w:rsid w:val="006D3F80"/>
    <w:rsid w:val="006D468E"/>
    <w:rsid w:val="006D54AE"/>
    <w:rsid w:val="006D6F08"/>
    <w:rsid w:val="006D7C02"/>
    <w:rsid w:val="006D7D3B"/>
    <w:rsid w:val="006E0010"/>
    <w:rsid w:val="006E0061"/>
    <w:rsid w:val="006E062C"/>
    <w:rsid w:val="006E12FB"/>
    <w:rsid w:val="006E1CEC"/>
    <w:rsid w:val="006E28B7"/>
    <w:rsid w:val="006E2FB3"/>
    <w:rsid w:val="006E3310"/>
    <w:rsid w:val="006E4CF9"/>
    <w:rsid w:val="006E4E39"/>
    <w:rsid w:val="006E565E"/>
    <w:rsid w:val="006E673D"/>
    <w:rsid w:val="006E7C1A"/>
    <w:rsid w:val="006E7D3B"/>
    <w:rsid w:val="006F1B70"/>
    <w:rsid w:val="006F341D"/>
    <w:rsid w:val="006F3CDE"/>
    <w:rsid w:val="006F3D31"/>
    <w:rsid w:val="006F58D4"/>
    <w:rsid w:val="006F6619"/>
    <w:rsid w:val="00700B20"/>
    <w:rsid w:val="007018A5"/>
    <w:rsid w:val="00701B48"/>
    <w:rsid w:val="0070346E"/>
    <w:rsid w:val="007037D0"/>
    <w:rsid w:val="007042D5"/>
    <w:rsid w:val="00704C6A"/>
    <w:rsid w:val="00704D29"/>
    <w:rsid w:val="00704EDB"/>
    <w:rsid w:val="007053CE"/>
    <w:rsid w:val="00706101"/>
    <w:rsid w:val="0070653F"/>
    <w:rsid w:val="00707072"/>
    <w:rsid w:val="00707710"/>
    <w:rsid w:val="00707D61"/>
    <w:rsid w:val="00710F60"/>
    <w:rsid w:val="00711196"/>
    <w:rsid w:val="00712287"/>
    <w:rsid w:val="00712772"/>
    <w:rsid w:val="00712D9C"/>
    <w:rsid w:val="00713B77"/>
    <w:rsid w:val="007148D3"/>
    <w:rsid w:val="00715B9A"/>
    <w:rsid w:val="00720B1D"/>
    <w:rsid w:val="0072571E"/>
    <w:rsid w:val="00726AA7"/>
    <w:rsid w:val="00726EA6"/>
    <w:rsid w:val="00727208"/>
    <w:rsid w:val="00727680"/>
    <w:rsid w:val="007278A3"/>
    <w:rsid w:val="00733494"/>
    <w:rsid w:val="007337C2"/>
    <w:rsid w:val="00733833"/>
    <w:rsid w:val="007342A6"/>
    <w:rsid w:val="007348B1"/>
    <w:rsid w:val="00735CB0"/>
    <w:rsid w:val="00735EA1"/>
    <w:rsid w:val="007362A6"/>
    <w:rsid w:val="00736D7D"/>
    <w:rsid w:val="0074001B"/>
    <w:rsid w:val="00740E58"/>
    <w:rsid w:val="0074316B"/>
    <w:rsid w:val="007445A0"/>
    <w:rsid w:val="0074524B"/>
    <w:rsid w:val="007464C8"/>
    <w:rsid w:val="00747725"/>
    <w:rsid w:val="00747D8B"/>
    <w:rsid w:val="007511C6"/>
    <w:rsid w:val="00751228"/>
    <w:rsid w:val="00751A41"/>
    <w:rsid w:val="00756E37"/>
    <w:rsid w:val="007571E1"/>
    <w:rsid w:val="007573EE"/>
    <w:rsid w:val="007604B2"/>
    <w:rsid w:val="0076132E"/>
    <w:rsid w:val="0076224F"/>
    <w:rsid w:val="007633B9"/>
    <w:rsid w:val="007641A8"/>
    <w:rsid w:val="00765281"/>
    <w:rsid w:val="0076693F"/>
    <w:rsid w:val="00766BAD"/>
    <w:rsid w:val="00770902"/>
    <w:rsid w:val="00771BFA"/>
    <w:rsid w:val="00772087"/>
    <w:rsid w:val="007730BD"/>
    <w:rsid w:val="00773ABA"/>
    <w:rsid w:val="0077413A"/>
    <w:rsid w:val="00775311"/>
    <w:rsid w:val="007755F2"/>
    <w:rsid w:val="00775EF1"/>
    <w:rsid w:val="00776971"/>
    <w:rsid w:val="00777E3F"/>
    <w:rsid w:val="0078177E"/>
    <w:rsid w:val="007827A2"/>
    <w:rsid w:val="00782D81"/>
    <w:rsid w:val="0078304C"/>
    <w:rsid w:val="00783673"/>
    <w:rsid w:val="00784CD7"/>
    <w:rsid w:val="00785490"/>
    <w:rsid w:val="0078699A"/>
    <w:rsid w:val="00787AD2"/>
    <w:rsid w:val="00787AFF"/>
    <w:rsid w:val="0079239B"/>
    <w:rsid w:val="007925EA"/>
    <w:rsid w:val="007935CC"/>
    <w:rsid w:val="00793CD8"/>
    <w:rsid w:val="007953D2"/>
    <w:rsid w:val="00795C92"/>
    <w:rsid w:val="00796231"/>
    <w:rsid w:val="00797B72"/>
    <w:rsid w:val="007A1CB3"/>
    <w:rsid w:val="007A25AA"/>
    <w:rsid w:val="007A306F"/>
    <w:rsid w:val="007A3B9A"/>
    <w:rsid w:val="007A4097"/>
    <w:rsid w:val="007A426D"/>
    <w:rsid w:val="007A43A6"/>
    <w:rsid w:val="007A4452"/>
    <w:rsid w:val="007A4504"/>
    <w:rsid w:val="007A58A6"/>
    <w:rsid w:val="007A76A6"/>
    <w:rsid w:val="007B06CA"/>
    <w:rsid w:val="007B0D23"/>
    <w:rsid w:val="007B0FD8"/>
    <w:rsid w:val="007B3D2D"/>
    <w:rsid w:val="007B4A6E"/>
    <w:rsid w:val="007B50AE"/>
    <w:rsid w:val="007B51DF"/>
    <w:rsid w:val="007B56DA"/>
    <w:rsid w:val="007B69BE"/>
    <w:rsid w:val="007B6A2D"/>
    <w:rsid w:val="007B766A"/>
    <w:rsid w:val="007B7AE3"/>
    <w:rsid w:val="007C05DD"/>
    <w:rsid w:val="007C1E7A"/>
    <w:rsid w:val="007C2513"/>
    <w:rsid w:val="007C3B0F"/>
    <w:rsid w:val="007C3D18"/>
    <w:rsid w:val="007C3FDE"/>
    <w:rsid w:val="007C40B6"/>
    <w:rsid w:val="007C5368"/>
    <w:rsid w:val="007C60BF"/>
    <w:rsid w:val="007C6A07"/>
    <w:rsid w:val="007C72DC"/>
    <w:rsid w:val="007C75A1"/>
    <w:rsid w:val="007C77A5"/>
    <w:rsid w:val="007D02FA"/>
    <w:rsid w:val="007D04E5"/>
    <w:rsid w:val="007D2DAC"/>
    <w:rsid w:val="007D4078"/>
    <w:rsid w:val="007D5901"/>
    <w:rsid w:val="007D73A1"/>
    <w:rsid w:val="007D7526"/>
    <w:rsid w:val="007E0F17"/>
    <w:rsid w:val="007E0F7F"/>
    <w:rsid w:val="007E31F7"/>
    <w:rsid w:val="007E35FC"/>
    <w:rsid w:val="007E4086"/>
    <w:rsid w:val="007E45D8"/>
    <w:rsid w:val="007E4610"/>
    <w:rsid w:val="007E4715"/>
    <w:rsid w:val="007E505B"/>
    <w:rsid w:val="007E59E5"/>
    <w:rsid w:val="007E7091"/>
    <w:rsid w:val="007F6109"/>
    <w:rsid w:val="007F77F0"/>
    <w:rsid w:val="00803FAE"/>
    <w:rsid w:val="00804F08"/>
    <w:rsid w:val="0080541A"/>
    <w:rsid w:val="0080605F"/>
    <w:rsid w:val="008060E6"/>
    <w:rsid w:val="00806A37"/>
    <w:rsid w:val="00806E3A"/>
    <w:rsid w:val="00807786"/>
    <w:rsid w:val="00810D5F"/>
    <w:rsid w:val="00811FCB"/>
    <w:rsid w:val="0081226E"/>
    <w:rsid w:val="00812DF3"/>
    <w:rsid w:val="00813697"/>
    <w:rsid w:val="00815459"/>
    <w:rsid w:val="008158D6"/>
    <w:rsid w:val="00815DB1"/>
    <w:rsid w:val="00817196"/>
    <w:rsid w:val="008235DB"/>
    <w:rsid w:val="00823E03"/>
    <w:rsid w:val="00824AB4"/>
    <w:rsid w:val="00825101"/>
    <w:rsid w:val="00825A0F"/>
    <w:rsid w:val="00825C42"/>
    <w:rsid w:val="00825D25"/>
    <w:rsid w:val="00825E1E"/>
    <w:rsid w:val="00827A9A"/>
    <w:rsid w:val="00827D6F"/>
    <w:rsid w:val="00831E23"/>
    <w:rsid w:val="00832477"/>
    <w:rsid w:val="008376AC"/>
    <w:rsid w:val="00837AD0"/>
    <w:rsid w:val="0084159A"/>
    <w:rsid w:val="00841620"/>
    <w:rsid w:val="0084211A"/>
    <w:rsid w:val="008444E8"/>
    <w:rsid w:val="00844E80"/>
    <w:rsid w:val="00846FE7"/>
    <w:rsid w:val="008473C6"/>
    <w:rsid w:val="008476AE"/>
    <w:rsid w:val="00847EB6"/>
    <w:rsid w:val="00852369"/>
    <w:rsid w:val="008544FE"/>
    <w:rsid w:val="00854D1E"/>
    <w:rsid w:val="00854F97"/>
    <w:rsid w:val="00855CBF"/>
    <w:rsid w:val="00856911"/>
    <w:rsid w:val="0086014B"/>
    <w:rsid w:val="0086039E"/>
    <w:rsid w:val="00860AC2"/>
    <w:rsid w:val="00860CA4"/>
    <w:rsid w:val="0086193A"/>
    <w:rsid w:val="00862E05"/>
    <w:rsid w:val="008633BC"/>
    <w:rsid w:val="00866897"/>
    <w:rsid w:val="008677FD"/>
    <w:rsid w:val="008706D4"/>
    <w:rsid w:val="00870F8A"/>
    <w:rsid w:val="008719A4"/>
    <w:rsid w:val="00871D23"/>
    <w:rsid w:val="00873DB0"/>
    <w:rsid w:val="008741B2"/>
    <w:rsid w:val="00874312"/>
    <w:rsid w:val="0087437C"/>
    <w:rsid w:val="00875C30"/>
    <w:rsid w:val="00875CD7"/>
    <w:rsid w:val="00875FF1"/>
    <w:rsid w:val="00876B4D"/>
    <w:rsid w:val="00877F18"/>
    <w:rsid w:val="00882738"/>
    <w:rsid w:val="00884386"/>
    <w:rsid w:val="0088494E"/>
    <w:rsid w:val="008867DB"/>
    <w:rsid w:val="008941CA"/>
    <w:rsid w:val="00894337"/>
    <w:rsid w:val="00894404"/>
    <w:rsid w:val="0089486E"/>
    <w:rsid w:val="00894A88"/>
    <w:rsid w:val="00895386"/>
    <w:rsid w:val="00895828"/>
    <w:rsid w:val="008961AD"/>
    <w:rsid w:val="00896D0A"/>
    <w:rsid w:val="008A135F"/>
    <w:rsid w:val="008A1825"/>
    <w:rsid w:val="008A21FF"/>
    <w:rsid w:val="008A2CE2"/>
    <w:rsid w:val="008A30AC"/>
    <w:rsid w:val="008A44B8"/>
    <w:rsid w:val="008A51A8"/>
    <w:rsid w:val="008A54C7"/>
    <w:rsid w:val="008A72DD"/>
    <w:rsid w:val="008A77D8"/>
    <w:rsid w:val="008B02AD"/>
    <w:rsid w:val="008B031C"/>
    <w:rsid w:val="008B0483"/>
    <w:rsid w:val="008B120C"/>
    <w:rsid w:val="008B2DC8"/>
    <w:rsid w:val="008B51A0"/>
    <w:rsid w:val="008B592A"/>
    <w:rsid w:val="008B7B5C"/>
    <w:rsid w:val="008C0C99"/>
    <w:rsid w:val="008C2017"/>
    <w:rsid w:val="008C201D"/>
    <w:rsid w:val="008C3F90"/>
    <w:rsid w:val="008C4958"/>
    <w:rsid w:val="008C4BAA"/>
    <w:rsid w:val="008C58E8"/>
    <w:rsid w:val="008C6672"/>
    <w:rsid w:val="008C687F"/>
    <w:rsid w:val="008C6AE8"/>
    <w:rsid w:val="008C7573"/>
    <w:rsid w:val="008D0A34"/>
    <w:rsid w:val="008D0CDF"/>
    <w:rsid w:val="008D34F1"/>
    <w:rsid w:val="008D3910"/>
    <w:rsid w:val="008D39D8"/>
    <w:rsid w:val="008D4BEB"/>
    <w:rsid w:val="008D603E"/>
    <w:rsid w:val="008D6D1A"/>
    <w:rsid w:val="008D7947"/>
    <w:rsid w:val="008D7E2E"/>
    <w:rsid w:val="008E065E"/>
    <w:rsid w:val="008E0927"/>
    <w:rsid w:val="008E1909"/>
    <w:rsid w:val="008E217F"/>
    <w:rsid w:val="008F18F9"/>
    <w:rsid w:val="008F191C"/>
    <w:rsid w:val="008F1EAB"/>
    <w:rsid w:val="008F2FDB"/>
    <w:rsid w:val="008F33DC"/>
    <w:rsid w:val="008F4733"/>
    <w:rsid w:val="008F477F"/>
    <w:rsid w:val="008F57E6"/>
    <w:rsid w:val="008F5A87"/>
    <w:rsid w:val="008F6107"/>
    <w:rsid w:val="008F621C"/>
    <w:rsid w:val="008F66B5"/>
    <w:rsid w:val="00902350"/>
    <w:rsid w:val="0090273E"/>
    <w:rsid w:val="009029AA"/>
    <w:rsid w:val="0090336B"/>
    <w:rsid w:val="00903E78"/>
    <w:rsid w:val="009053AA"/>
    <w:rsid w:val="00906939"/>
    <w:rsid w:val="00910B7D"/>
    <w:rsid w:val="00911A72"/>
    <w:rsid w:val="00911DFB"/>
    <w:rsid w:val="009129F6"/>
    <w:rsid w:val="009132F7"/>
    <w:rsid w:val="0091367B"/>
    <w:rsid w:val="009137BC"/>
    <w:rsid w:val="009139D9"/>
    <w:rsid w:val="009146B8"/>
    <w:rsid w:val="00914AD8"/>
    <w:rsid w:val="00914DB8"/>
    <w:rsid w:val="00914F8E"/>
    <w:rsid w:val="00915959"/>
    <w:rsid w:val="00916079"/>
    <w:rsid w:val="00917CE9"/>
    <w:rsid w:val="0092081E"/>
    <w:rsid w:val="00920BF2"/>
    <w:rsid w:val="00921720"/>
    <w:rsid w:val="00922010"/>
    <w:rsid w:val="0092217F"/>
    <w:rsid w:val="009247CB"/>
    <w:rsid w:val="00925F56"/>
    <w:rsid w:val="00926622"/>
    <w:rsid w:val="00926CF1"/>
    <w:rsid w:val="00926E1B"/>
    <w:rsid w:val="009304A3"/>
    <w:rsid w:val="00930691"/>
    <w:rsid w:val="00931BD9"/>
    <w:rsid w:val="00931C2F"/>
    <w:rsid w:val="00932BB4"/>
    <w:rsid w:val="009340D3"/>
    <w:rsid w:val="00934AB6"/>
    <w:rsid w:val="00935B6D"/>
    <w:rsid w:val="009368F3"/>
    <w:rsid w:val="0094117F"/>
    <w:rsid w:val="00941636"/>
    <w:rsid w:val="009424F3"/>
    <w:rsid w:val="00942F55"/>
    <w:rsid w:val="00943737"/>
    <w:rsid w:val="00943742"/>
    <w:rsid w:val="00943CCE"/>
    <w:rsid w:val="00944531"/>
    <w:rsid w:val="00945041"/>
    <w:rsid w:val="00945C05"/>
    <w:rsid w:val="00946945"/>
    <w:rsid w:val="00947713"/>
    <w:rsid w:val="00947AB8"/>
    <w:rsid w:val="00950C02"/>
    <w:rsid w:val="00950DE7"/>
    <w:rsid w:val="00953228"/>
    <w:rsid w:val="00953920"/>
    <w:rsid w:val="00953D47"/>
    <w:rsid w:val="009550DC"/>
    <w:rsid w:val="0095681E"/>
    <w:rsid w:val="009572D4"/>
    <w:rsid w:val="00957485"/>
    <w:rsid w:val="00961921"/>
    <w:rsid w:val="009629ED"/>
    <w:rsid w:val="00963C18"/>
    <w:rsid w:val="0096430A"/>
    <w:rsid w:val="009645E8"/>
    <w:rsid w:val="00964EB9"/>
    <w:rsid w:val="0096554B"/>
    <w:rsid w:val="0096584A"/>
    <w:rsid w:val="00966028"/>
    <w:rsid w:val="00966432"/>
    <w:rsid w:val="009669AB"/>
    <w:rsid w:val="00970D57"/>
    <w:rsid w:val="00971F08"/>
    <w:rsid w:val="0097264E"/>
    <w:rsid w:val="0097500F"/>
    <w:rsid w:val="009751C5"/>
    <w:rsid w:val="0097603D"/>
    <w:rsid w:val="00976735"/>
    <w:rsid w:val="00976949"/>
    <w:rsid w:val="00977B28"/>
    <w:rsid w:val="00980265"/>
    <w:rsid w:val="009803FB"/>
    <w:rsid w:val="00980477"/>
    <w:rsid w:val="00980CB7"/>
    <w:rsid w:val="0098329A"/>
    <w:rsid w:val="00983417"/>
    <w:rsid w:val="00983FD7"/>
    <w:rsid w:val="00985253"/>
    <w:rsid w:val="009853B3"/>
    <w:rsid w:val="00985D70"/>
    <w:rsid w:val="009874E6"/>
    <w:rsid w:val="00990630"/>
    <w:rsid w:val="0099087C"/>
    <w:rsid w:val="00991761"/>
    <w:rsid w:val="00992864"/>
    <w:rsid w:val="00994DCA"/>
    <w:rsid w:val="009960EC"/>
    <w:rsid w:val="00997019"/>
    <w:rsid w:val="009970DD"/>
    <w:rsid w:val="009A00AE"/>
    <w:rsid w:val="009A0FBA"/>
    <w:rsid w:val="009A1601"/>
    <w:rsid w:val="009A2D5D"/>
    <w:rsid w:val="009A3C0A"/>
    <w:rsid w:val="009A414D"/>
    <w:rsid w:val="009A462D"/>
    <w:rsid w:val="009A5CBA"/>
    <w:rsid w:val="009A6004"/>
    <w:rsid w:val="009A659C"/>
    <w:rsid w:val="009B017A"/>
    <w:rsid w:val="009B1F30"/>
    <w:rsid w:val="009B3AC2"/>
    <w:rsid w:val="009B4DF4"/>
    <w:rsid w:val="009B5316"/>
    <w:rsid w:val="009B564E"/>
    <w:rsid w:val="009B5890"/>
    <w:rsid w:val="009B7E87"/>
    <w:rsid w:val="009C403E"/>
    <w:rsid w:val="009C5930"/>
    <w:rsid w:val="009C638E"/>
    <w:rsid w:val="009C676B"/>
    <w:rsid w:val="009C7D6C"/>
    <w:rsid w:val="009D0E84"/>
    <w:rsid w:val="009D0F2A"/>
    <w:rsid w:val="009D2CBB"/>
    <w:rsid w:val="009D3A9B"/>
    <w:rsid w:val="009D469A"/>
    <w:rsid w:val="009D4FF0"/>
    <w:rsid w:val="009D6D33"/>
    <w:rsid w:val="009D703C"/>
    <w:rsid w:val="009D718F"/>
    <w:rsid w:val="009E068F"/>
    <w:rsid w:val="009E103E"/>
    <w:rsid w:val="009E14E0"/>
    <w:rsid w:val="009E35DB"/>
    <w:rsid w:val="009E47A3"/>
    <w:rsid w:val="009E4B32"/>
    <w:rsid w:val="009F0709"/>
    <w:rsid w:val="009F08F3"/>
    <w:rsid w:val="009F1EC2"/>
    <w:rsid w:val="009F344F"/>
    <w:rsid w:val="009F3938"/>
    <w:rsid w:val="009F3970"/>
    <w:rsid w:val="009F4829"/>
    <w:rsid w:val="009F59C9"/>
    <w:rsid w:val="009F6C75"/>
    <w:rsid w:val="00A0056F"/>
    <w:rsid w:val="00A04802"/>
    <w:rsid w:val="00A048A8"/>
    <w:rsid w:val="00A04F49"/>
    <w:rsid w:val="00A0585B"/>
    <w:rsid w:val="00A06104"/>
    <w:rsid w:val="00A06306"/>
    <w:rsid w:val="00A11D14"/>
    <w:rsid w:val="00A11E37"/>
    <w:rsid w:val="00A11F97"/>
    <w:rsid w:val="00A13E54"/>
    <w:rsid w:val="00A13F07"/>
    <w:rsid w:val="00A143D0"/>
    <w:rsid w:val="00A143D3"/>
    <w:rsid w:val="00A145B3"/>
    <w:rsid w:val="00A156B2"/>
    <w:rsid w:val="00A17F63"/>
    <w:rsid w:val="00A204CB"/>
    <w:rsid w:val="00A2052C"/>
    <w:rsid w:val="00A2193B"/>
    <w:rsid w:val="00A2351A"/>
    <w:rsid w:val="00A23735"/>
    <w:rsid w:val="00A253CA"/>
    <w:rsid w:val="00A2611E"/>
    <w:rsid w:val="00A264A9"/>
    <w:rsid w:val="00A26D5A"/>
    <w:rsid w:val="00A2704B"/>
    <w:rsid w:val="00A27785"/>
    <w:rsid w:val="00A30187"/>
    <w:rsid w:val="00A3141B"/>
    <w:rsid w:val="00A33BD0"/>
    <w:rsid w:val="00A33E11"/>
    <w:rsid w:val="00A3448A"/>
    <w:rsid w:val="00A34623"/>
    <w:rsid w:val="00A34A11"/>
    <w:rsid w:val="00A34BFE"/>
    <w:rsid w:val="00A34F21"/>
    <w:rsid w:val="00A36297"/>
    <w:rsid w:val="00A3671A"/>
    <w:rsid w:val="00A36A71"/>
    <w:rsid w:val="00A41E2B"/>
    <w:rsid w:val="00A4304D"/>
    <w:rsid w:val="00A433F5"/>
    <w:rsid w:val="00A43B14"/>
    <w:rsid w:val="00A43EA5"/>
    <w:rsid w:val="00A45B74"/>
    <w:rsid w:val="00A45F65"/>
    <w:rsid w:val="00A46D11"/>
    <w:rsid w:val="00A47A35"/>
    <w:rsid w:val="00A52E1D"/>
    <w:rsid w:val="00A52F74"/>
    <w:rsid w:val="00A5517A"/>
    <w:rsid w:val="00A56AC2"/>
    <w:rsid w:val="00A56F92"/>
    <w:rsid w:val="00A57B08"/>
    <w:rsid w:val="00A607E0"/>
    <w:rsid w:val="00A61499"/>
    <w:rsid w:val="00A62A77"/>
    <w:rsid w:val="00A62A78"/>
    <w:rsid w:val="00A63483"/>
    <w:rsid w:val="00A657D7"/>
    <w:rsid w:val="00A660AC"/>
    <w:rsid w:val="00A663FE"/>
    <w:rsid w:val="00A66F55"/>
    <w:rsid w:val="00A67E6C"/>
    <w:rsid w:val="00A70AB7"/>
    <w:rsid w:val="00A71B99"/>
    <w:rsid w:val="00A72062"/>
    <w:rsid w:val="00A728E3"/>
    <w:rsid w:val="00A72F63"/>
    <w:rsid w:val="00A739D0"/>
    <w:rsid w:val="00A74046"/>
    <w:rsid w:val="00A74DF0"/>
    <w:rsid w:val="00A761D4"/>
    <w:rsid w:val="00A76D56"/>
    <w:rsid w:val="00A77EC4"/>
    <w:rsid w:val="00A80E9C"/>
    <w:rsid w:val="00A84600"/>
    <w:rsid w:val="00A84A16"/>
    <w:rsid w:val="00A872FF"/>
    <w:rsid w:val="00A87B58"/>
    <w:rsid w:val="00A87EAD"/>
    <w:rsid w:val="00A905F5"/>
    <w:rsid w:val="00A9097B"/>
    <w:rsid w:val="00A91C88"/>
    <w:rsid w:val="00A92879"/>
    <w:rsid w:val="00A92B81"/>
    <w:rsid w:val="00A935C0"/>
    <w:rsid w:val="00A943ED"/>
    <w:rsid w:val="00A9442A"/>
    <w:rsid w:val="00AA016F"/>
    <w:rsid w:val="00AA10CC"/>
    <w:rsid w:val="00AA1ED6"/>
    <w:rsid w:val="00AA51D6"/>
    <w:rsid w:val="00AA5589"/>
    <w:rsid w:val="00AA5754"/>
    <w:rsid w:val="00AA65E5"/>
    <w:rsid w:val="00AA699F"/>
    <w:rsid w:val="00AA7395"/>
    <w:rsid w:val="00AA7717"/>
    <w:rsid w:val="00AA78C5"/>
    <w:rsid w:val="00AB0BC8"/>
    <w:rsid w:val="00AB11CA"/>
    <w:rsid w:val="00AB14D9"/>
    <w:rsid w:val="00AB4AB8"/>
    <w:rsid w:val="00AB514B"/>
    <w:rsid w:val="00AB655E"/>
    <w:rsid w:val="00AB6984"/>
    <w:rsid w:val="00AC007F"/>
    <w:rsid w:val="00AC1073"/>
    <w:rsid w:val="00AC2ECD"/>
    <w:rsid w:val="00AC3119"/>
    <w:rsid w:val="00AC49FB"/>
    <w:rsid w:val="00AC5A10"/>
    <w:rsid w:val="00AC6B5A"/>
    <w:rsid w:val="00AD0AA3"/>
    <w:rsid w:val="00AD219F"/>
    <w:rsid w:val="00AD22DE"/>
    <w:rsid w:val="00AD2BD5"/>
    <w:rsid w:val="00AD3F94"/>
    <w:rsid w:val="00AD4571"/>
    <w:rsid w:val="00AD4A5A"/>
    <w:rsid w:val="00AD5A73"/>
    <w:rsid w:val="00AD6677"/>
    <w:rsid w:val="00AD68FA"/>
    <w:rsid w:val="00AD6F27"/>
    <w:rsid w:val="00AD74D0"/>
    <w:rsid w:val="00AD7F01"/>
    <w:rsid w:val="00AE14D8"/>
    <w:rsid w:val="00AE18FE"/>
    <w:rsid w:val="00AE219E"/>
    <w:rsid w:val="00AE27AC"/>
    <w:rsid w:val="00AE3743"/>
    <w:rsid w:val="00AE39D5"/>
    <w:rsid w:val="00AE40E0"/>
    <w:rsid w:val="00AE4DBA"/>
    <w:rsid w:val="00AE4F07"/>
    <w:rsid w:val="00AE62A9"/>
    <w:rsid w:val="00AF00ED"/>
    <w:rsid w:val="00AF096E"/>
    <w:rsid w:val="00AF1C5D"/>
    <w:rsid w:val="00AF2926"/>
    <w:rsid w:val="00AF42D7"/>
    <w:rsid w:val="00AF5D8C"/>
    <w:rsid w:val="00B006FE"/>
    <w:rsid w:val="00B007CB"/>
    <w:rsid w:val="00B01CB7"/>
    <w:rsid w:val="00B02AA9"/>
    <w:rsid w:val="00B02FA3"/>
    <w:rsid w:val="00B04CCE"/>
    <w:rsid w:val="00B05084"/>
    <w:rsid w:val="00B114D8"/>
    <w:rsid w:val="00B1286B"/>
    <w:rsid w:val="00B135C0"/>
    <w:rsid w:val="00B13A18"/>
    <w:rsid w:val="00B13A85"/>
    <w:rsid w:val="00B1517B"/>
    <w:rsid w:val="00B157F9"/>
    <w:rsid w:val="00B16AB5"/>
    <w:rsid w:val="00B20256"/>
    <w:rsid w:val="00B20D09"/>
    <w:rsid w:val="00B2117D"/>
    <w:rsid w:val="00B21AD6"/>
    <w:rsid w:val="00B21EA0"/>
    <w:rsid w:val="00B21F58"/>
    <w:rsid w:val="00B23F20"/>
    <w:rsid w:val="00B25134"/>
    <w:rsid w:val="00B2763F"/>
    <w:rsid w:val="00B27AAC"/>
    <w:rsid w:val="00B30929"/>
    <w:rsid w:val="00B3226A"/>
    <w:rsid w:val="00B34427"/>
    <w:rsid w:val="00B3561F"/>
    <w:rsid w:val="00B35DDA"/>
    <w:rsid w:val="00B372AA"/>
    <w:rsid w:val="00B375C6"/>
    <w:rsid w:val="00B40445"/>
    <w:rsid w:val="00B41888"/>
    <w:rsid w:val="00B43214"/>
    <w:rsid w:val="00B45A52"/>
    <w:rsid w:val="00B45C8F"/>
    <w:rsid w:val="00B46175"/>
    <w:rsid w:val="00B46758"/>
    <w:rsid w:val="00B46CD1"/>
    <w:rsid w:val="00B47583"/>
    <w:rsid w:val="00B5121E"/>
    <w:rsid w:val="00B54381"/>
    <w:rsid w:val="00B54A57"/>
    <w:rsid w:val="00B57061"/>
    <w:rsid w:val="00B6070B"/>
    <w:rsid w:val="00B60D95"/>
    <w:rsid w:val="00B6188F"/>
    <w:rsid w:val="00B62D02"/>
    <w:rsid w:val="00B66277"/>
    <w:rsid w:val="00B66447"/>
    <w:rsid w:val="00B664C7"/>
    <w:rsid w:val="00B67EE8"/>
    <w:rsid w:val="00B71B41"/>
    <w:rsid w:val="00B739F6"/>
    <w:rsid w:val="00B73E93"/>
    <w:rsid w:val="00B762E3"/>
    <w:rsid w:val="00B769D8"/>
    <w:rsid w:val="00B76CE4"/>
    <w:rsid w:val="00B77A66"/>
    <w:rsid w:val="00B80F70"/>
    <w:rsid w:val="00B81495"/>
    <w:rsid w:val="00B81A6C"/>
    <w:rsid w:val="00B83BAE"/>
    <w:rsid w:val="00B85DE5"/>
    <w:rsid w:val="00B87D64"/>
    <w:rsid w:val="00B9075F"/>
    <w:rsid w:val="00B90E8F"/>
    <w:rsid w:val="00B90F73"/>
    <w:rsid w:val="00B93B59"/>
    <w:rsid w:val="00B9406A"/>
    <w:rsid w:val="00B97FE4"/>
    <w:rsid w:val="00BA00E8"/>
    <w:rsid w:val="00BA2280"/>
    <w:rsid w:val="00BA22CC"/>
    <w:rsid w:val="00BA24DD"/>
    <w:rsid w:val="00BA2A08"/>
    <w:rsid w:val="00BA30AA"/>
    <w:rsid w:val="00BA42CC"/>
    <w:rsid w:val="00BA4322"/>
    <w:rsid w:val="00BA56D2"/>
    <w:rsid w:val="00BA5A60"/>
    <w:rsid w:val="00BA5BB7"/>
    <w:rsid w:val="00BA63E5"/>
    <w:rsid w:val="00BA6C83"/>
    <w:rsid w:val="00BA6CF8"/>
    <w:rsid w:val="00BA76E0"/>
    <w:rsid w:val="00BB2A25"/>
    <w:rsid w:val="00BB4233"/>
    <w:rsid w:val="00BB51E9"/>
    <w:rsid w:val="00BB53C9"/>
    <w:rsid w:val="00BB599F"/>
    <w:rsid w:val="00BC0FAC"/>
    <w:rsid w:val="00BC0FDC"/>
    <w:rsid w:val="00BC27E7"/>
    <w:rsid w:val="00BC3053"/>
    <w:rsid w:val="00BC3D14"/>
    <w:rsid w:val="00BC4D2E"/>
    <w:rsid w:val="00BC6A47"/>
    <w:rsid w:val="00BC7438"/>
    <w:rsid w:val="00BC7AE3"/>
    <w:rsid w:val="00BD0038"/>
    <w:rsid w:val="00BD2F9B"/>
    <w:rsid w:val="00BD42B9"/>
    <w:rsid w:val="00BD48AC"/>
    <w:rsid w:val="00BD5774"/>
    <w:rsid w:val="00BD5F1A"/>
    <w:rsid w:val="00BD7716"/>
    <w:rsid w:val="00BE1234"/>
    <w:rsid w:val="00BE2DF1"/>
    <w:rsid w:val="00BE2FA6"/>
    <w:rsid w:val="00BE333F"/>
    <w:rsid w:val="00BE6152"/>
    <w:rsid w:val="00BE7406"/>
    <w:rsid w:val="00BE7603"/>
    <w:rsid w:val="00BE7DE1"/>
    <w:rsid w:val="00BF299B"/>
    <w:rsid w:val="00BF3279"/>
    <w:rsid w:val="00BF3621"/>
    <w:rsid w:val="00BF4AE4"/>
    <w:rsid w:val="00BF74C7"/>
    <w:rsid w:val="00BF7C64"/>
    <w:rsid w:val="00C00DC6"/>
    <w:rsid w:val="00C0118A"/>
    <w:rsid w:val="00C015F1"/>
    <w:rsid w:val="00C01F33"/>
    <w:rsid w:val="00C02CC6"/>
    <w:rsid w:val="00C03BC0"/>
    <w:rsid w:val="00C03D32"/>
    <w:rsid w:val="00C040F7"/>
    <w:rsid w:val="00C0416D"/>
    <w:rsid w:val="00C041B0"/>
    <w:rsid w:val="00C044AB"/>
    <w:rsid w:val="00C04757"/>
    <w:rsid w:val="00C05706"/>
    <w:rsid w:val="00C0600E"/>
    <w:rsid w:val="00C07066"/>
    <w:rsid w:val="00C07377"/>
    <w:rsid w:val="00C07D47"/>
    <w:rsid w:val="00C10478"/>
    <w:rsid w:val="00C10BA5"/>
    <w:rsid w:val="00C12107"/>
    <w:rsid w:val="00C12276"/>
    <w:rsid w:val="00C12674"/>
    <w:rsid w:val="00C13ED5"/>
    <w:rsid w:val="00C14523"/>
    <w:rsid w:val="00C14D4B"/>
    <w:rsid w:val="00C153B5"/>
    <w:rsid w:val="00C154BB"/>
    <w:rsid w:val="00C170C4"/>
    <w:rsid w:val="00C17475"/>
    <w:rsid w:val="00C1794F"/>
    <w:rsid w:val="00C212F9"/>
    <w:rsid w:val="00C21B8E"/>
    <w:rsid w:val="00C22AD5"/>
    <w:rsid w:val="00C234EB"/>
    <w:rsid w:val="00C24345"/>
    <w:rsid w:val="00C24F5B"/>
    <w:rsid w:val="00C279B5"/>
    <w:rsid w:val="00C27A79"/>
    <w:rsid w:val="00C27A9F"/>
    <w:rsid w:val="00C27C45"/>
    <w:rsid w:val="00C27D0E"/>
    <w:rsid w:val="00C34C94"/>
    <w:rsid w:val="00C36B81"/>
    <w:rsid w:val="00C3719D"/>
    <w:rsid w:val="00C43B1E"/>
    <w:rsid w:val="00C448A4"/>
    <w:rsid w:val="00C46B03"/>
    <w:rsid w:val="00C512C2"/>
    <w:rsid w:val="00C54995"/>
    <w:rsid w:val="00C54D41"/>
    <w:rsid w:val="00C54EA6"/>
    <w:rsid w:val="00C606F1"/>
    <w:rsid w:val="00C60783"/>
    <w:rsid w:val="00C61251"/>
    <w:rsid w:val="00C61928"/>
    <w:rsid w:val="00C6225C"/>
    <w:rsid w:val="00C64672"/>
    <w:rsid w:val="00C64B79"/>
    <w:rsid w:val="00C6530A"/>
    <w:rsid w:val="00C701AD"/>
    <w:rsid w:val="00C70697"/>
    <w:rsid w:val="00C70A11"/>
    <w:rsid w:val="00C724CD"/>
    <w:rsid w:val="00C72EF4"/>
    <w:rsid w:val="00C73E4C"/>
    <w:rsid w:val="00C7402A"/>
    <w:rsid w:val="00C75D2F"/>
    <w:rsid w:val="00C767BE"/>
    <w:rsid w:val="00C767C2"/>
    <w:rsid w:val="00C76E3C"/>
    <w:rsid w:val="00C80AFC"/>
    <w:rsid w:val="00C81568"/>
    <w:rsid w:val="00C81EA0"/>
    <w:rsid w:val="00C82817"/>
    <w:rsid w:val="00C82D13"/>
    <w:rsid w:val="00C83EC5"/>
    <w:rsid w:val="00C84215"/>
    <w:rsid w:val="00C860F5"/>
    <w:rsid w:val="00C9027A"/>
    <w:rsid w:val="00C9068E"/>
    <w:rsid w:val="00C91800"/>
    <w:rsid w:val="00C93C4B"/>
    <w:rsid w:val="00C944AB"/>
    <w:rsid w:val="00C95B40"/>
    <w:rsid w:val="00CA0033"/>
    <w:rsid w:val="00CA1ED8"/>
    <w:rsid w:val="00CA1F13"/>
    <w:rsid w:val="00CA4A82"/>
    <w:rsid w:val="00CA5930"/>
    <w:rsid w:val="00CB0A35"/>
    <w:rsid w:val="00CB1F63"/>
    <w:rsid w:val="00CB41E6"/>
    <w:rsid w:val="00CB57F7"/>
    <w:rsid w:val="00CB5AE7"/>
    <w:rsid w:val="00CB7170"/>
    <w:rsid w:val="00CB7F3A"/>
    <w:rsid w:val="00CC040E"/>
    <w:rsid w:val="00CC111F"/>
    <w:rsid w:val="00CC132B"/>
    <w:rsid w:val="00CC2011"/>
    <w:rsid w:val="00CC2E6D"/>
    <w:rsid w:val="00CC2E76"/>
    <w:rsid w:val="00CC3B25"/>
    <w:rsid w:val="00CC3EA0"/>
    <w:rsid w:val="00CC61DD"/>
    <w:rsid w:val="00CC7B45"/>
    <w:rsid w:val="00CD0223"/>
    <w:rsid w:val="00CD1188"/>
    <w:rsid w:val="00CD11F0"/>
    <w:rsid w:val="00CD2ED1"/>
    <w:rsid w:val="00CD337B"/>
    <w:rsid w:val="00CD35BF"/>
    <w:rsid w:val="00CD4482"/>
    <w:rsid w:val="00CD497D"/>
    <w:rsid w:val="00CD4E0F"/>
    <w:rsid w:val="00CD511A"/>
    <w:rsid w:val="00CD6705"/>
    <w:rsid w:val="00CE0424"/>
    <w:rsid w:val="00CE1815"/>
    <w:rsid w:val="00CE318F"/>
    <w:rsid w:val="00CE3C92"/>
    <w:rsid w:val="00CE6FEE"/>
    <w:rsid w:val="00CE7561"/>
    <w:rsid w:val="00CF1354"/>
    <w:rsid w:val="00CF1533"/>
    <w:rsid w:val="00CF186E"/>
    <w:rsid w:val="00CF2444"/>
    <w:rsid w:val="00CF3953"/>
    <w:rsid w:val="00CF3B1F"/>
    <w:rsid w:val="00CF3BF6"/>
    <w:rsid w:val="00CF5DFD"/>
    <w:rsid w:val="00CF625B"/>
    <w:rsid w:val="00CF687E"/>
    <w:rsid w:val="00CF7FD5"/>
    <w:rsid w:val="00D00332"/>
    <w:rsid w:val="00D01798"/>
    <w:rsid w:val="00D0349B"/>
    <w:rsid w:val="00D0384C"/>
    <w:rsid w:val="00D0575F"/>
    <w:rsid w:val="00D05B86"/>
    <w:rsid w:val="00D06593"/>
    <w:rsid w:val="00D10249"/>
    <w:rsid w:val="00D10B22"/>
    <w:rsid w:val="00D115C3"/>
    <w:rsid w:val="00D11663"/>
    <w:rsid w:val="00D11897"/>
    <w:rsid w:val="00D11A12"/>
    <w:rsid w:val="00D125A2"/>
    <w:rsid w:val="00D13135"/>
    <w:rsid w:val="00D13491"/>
    <w:rsid w:val="00D13E4E"/>
    <w:rsid w:val="00D147EF"/>
    <w:rsid w:val="00D2208E"/>
    <w:rsid w:val="00D231D9"/>
    <w:rsid w:val="00D239A7"/>
    <w:rsid w:val="00D23D48"/>
    <w:rsid w:val="00D23F47"/>
    <w:rsid w:val="00D24602"/>
    <w:rsid w:val="00D24D9A"/>
    <w:rsid w:val="00D2553E"/>
    <w:rsid w:val="00D2755C"/>
    <w:rsid w:val="00D27C64"/>
    <w:rsid w:val="00D3025E"/>
    <w:rsid w:val="00D31C3F"/>
    <w:rsid w:val="00D36E71"/>
    <w:rsid w:val="00D37D87"/>
    <w:rsid w:val="00D37DFF"/>
    <w:rsid w:val="00D4039A"/>
    <w:rsid w:val="00D40511"/>
    <w:rsid w:val="00D40B33"/>
    <w:rsid w:val="00D417A1"/>
    <w:rsid w:val="00D42268"/>
    <w:rsid w:val="00D4318F"/>
    <w:rsid w:val="00D4363D"/>
    <w:rsid w:val="00D438BF"/>
    <w:rsid w:val="00D43CEA"/>
    <w:rsid w:val="00D440F8"/>
    <w:rsid w:val="00D4480D"/>
    <w:rsid w:val="00D4647B"/>
    <w:rsid w:val="00D468EF"/>
    <w:rsid w:val="00D46DA8"/>
    <w:rsid w:val="00D47466"/>
    <w:rsid w:val="00D478BD"/>
    <w:rsid w:val="00D47A7A"/>
    <w:rsid w:val="00D50F19"/>
    <w:rsid w:val="00D50F97"/>
    <w:rsid w:val="00D51A58"/>
    <w:rsid w:val="00D53BB1"/>
    <w:rsid w:val="00D546FF"/>
    <w:rsid w:val="00D55AD5"/>
    <w:rsid w:val="00D576CA"/>
    <w:rsid w:val="00D60DA6"/>
    <w:rsid w:val="00D61AF5"/>
    <w:rsid w:val="00D628C7"/>
    <w:rsid w:val="00D632D4"/>
    <w:rsid w:val="00D644F7"/>
    <w:rsid w:val="00D652B5"/>
    <w:rsid w:val="00D65A76"/>
    <w:rsid w:val="00D66155"/>
    <w:rsid w:val="00D66359"/>
    <w:rsid w:val="00D67D98"/>
    <w:rsid w:val="00D708B0"/>
    <w:rsid w:val="00D70A08"/>
    <w:rsid w:val="00D70BC2"/>
    <w:rsid w:val="00D756D1"/>
    <w:rsid w:val="00D77B1D"/>
    <w:rsid w:val="00D8021F"/>
    <w:rsid w:val="00D8031C"/>
    <w:rsid w:val="00D80383"/>
    <w:rsid w:val="00D823C6"/>
    <w:rsid w:val="00D82758"/>
    <w:rsid w:val="00D827C1"/>
    <w:rsid w:val="00D82EFA"/>
    <w:rsid w:val="00D83068"/>
    <w:rsid w:val="00D849A8"/>
    <w:rsid w:val="00D84FEF"/>
    <w:rsid w:val="00D85EDA"/>
    <w:rsid w:val="00D86CA3"/>
    <w:rsid w:val="00D871CE"/>
    <w:rsid w:val="00D915E6"/>
    <w:rsid w:val="00D9196D"/>
    <w:rsid w:val="00D92982"/>
    <w:rsid w:val="00D929F4"/>
    <w:rsid w:val="00D950EC"/>
    <w:rsid w:val="00D95B1B"/>
    <w:rsid w:val="00D97B88"/>
    <w:rsid w:val="00DA1C35"/>
    <w:rsid w:val="00DA305E"/>
    <w:rsid w:val="00DA5417"/>
    <w:rsid w:val="00DA56E8"/>
    <w:rsid w:val="00DA5DA7"/>
    <w:rsid w:val="00DA77F5"/>
    <w:rsid w:val="00DB0692"/>
    <w:rsid w:val="00DB0A9F"/>
    <w:rsid w:val="00DB0F77"/>
    <w:rsid w:val="00DB377D"/>
    <w:rsid w:val="00DB4BF8"/>
    <w:rsid w:val="00DB6A7A"/>
    <w:rsid w:val="00DC0298"/>
    <w:rsid w:val="00DC2584"/>
    <w:rsid w:val="00DC2D36"/>
    <w:rsid w:val="00DC406B"/>
    <w:rsid w:val="00DC53EF"/>
    <w:rsid w:val="00DC68FC"/>
    <w:rsid w:val="00DC7CDB"/>
    <w:rsid w:val="00DD1AD6"/>
    <w:rsid w:val="00DD2077"/>
    <w:rsid w:val="00DD32F0"/>
    <w:rsid w:val="00DD6E58"/>
    <w:rsid w:val="00DD7DAD"/>
    <w:rsid w:val="00DE2914"/>
    <w:rsid w:val="00DE2E96"/>
    <w:rsid w:val="00DE35C3"/>
    <w:rsid w:val="00DE43EA"/>
    <w:rsid w:val="00DE5608"/>
    <w:rsid w:val="00DE58D0"/>
    <w:rsid w:val="00DE6217"/>
    <w:rsid w:val="00DE6265"/>
    <w:rsid w:val="00DE654F"/>
    <w:rsid w:val="00DF0B6E"/>
    <w:rsid w:val="00DF109B"/>
    <w:rsid w:val="00DF15E0"/>
    <w:rsid w:val="00DF1846"/>
    <w:rsid w:val="00DF37A0"/>
    <w:rsid w:val="00DF3E3D"/>
    <w:rsid w:val="00DF4529"/>
    <w:rsid w:val="00DF4FED"/>
    <w:rsid w:val="00DF7589"/>
    <w:rsid w:val="00DF7D5A"/>
    <w:rsid w:val="00E0052C"/>
    <w:rsid w:val="00E03BE3"/>
    <w:rsid w:val="00E03FEC"/>
    <w:rsid w:val="00E0450F"/>
    <w:rsid w:val="00E04B04"/>
    <w:rsid w:val="00E05552"/>
    <w:rsid w:val="00E07925"/>
    <w:rsid w:val="00E100D2"/>
    <w:rsid w:val="00E110E7"/>
    <w:rsid w:val="00E11B20"/>
    <w:rsid w:val="00E13DAA"/>
    <w:rsid w:val="00E14C50"/>
    <w:rsid w:val="00E16237"/>
    <w:rsid w:val="00E1748E"/>
    <w:rsid w:val="00E179B2"/>
    <w:rsid w:val="00E17FA2"/>
    <w:rsid w:val="00E2172F"/>
    <w:rsid w:val="00E22330"/>
    <w:rsid w:val="00E23770"/>
    <w:rsid w:val="00E25A08"/>
    <w:rsid w:val="00E30B5A"/>
    <w:rsid w:val="00E3123D"/>
    <w:rsid w:val="00E31337"/>
    <w:rsid w:val="00E31461"/>
    <w:rsid w:val="00E31D43"/>
    <w:rsid w:val="00E32608"/>
    <w:rsid w:val="00E34188"/>
    <w:rsid w:val="00E34B6E"/>
    <w:rsid w:val="00E35559"/>
    <w:rsid w:val="00E3723A"/>
    <w:rsid w:val="00E37860"/>
    <w:rsid w:val="00E4081F"/>
    <w:rsid w:val="00E41F7B"/>
    <w:rsid w:val="00E4230F"/>
    <w:rsid w:val="00E43345"/>
    <w:rsid w:val="00E4387C"/>
    <w:rsid w:val="00E446F1"/>
    <w:rsid w:val="00E46886"/>
    <w:rsid w:val="00E47AEF"/>
    <w:rsid w:val="00E5025E"/>
    <w:rsid w:val="00E52198"/>
    <w:rsid w:val="00E521F0"/>
    <w:rsid w:val="00E53B75"/>
    <w:rsid w:val="00E54E3B"/>
    <w:rsid w:val="00E55C70"/>
    <w:rsid w:val="00E5732C"/>
    <w:rsid w:val="00E57565"/>
    <w:rsid w:val="00E60672"/>
    <w:rsid w:val="00E613A3"/>
    <w:rsid w:val="00E622E7"/>
    <w:rsid w:val="00E63838"/>
    <w:rsid w:val="00E638FB"/>
    <w:rsid w:val="00E64434"/>
    <w:rsid w:val="00E64736"/>
    <w:rsid w:val="00E67C51"/>
    <w:rsid w:val="00E722D1"/>
    <w:rsid w:val="00E7279B"/>
    <w:rsid w:val="00E72EFC"/>
    <w:rsid w:val="00E73215"/>
    <w:rsid w:val="00E73586"/>
    <w:rsid w:val="00E73609"/>
    <w:rsid w:val="00E758EC"/>
    <w:rsid w:val="00E75E65"/>
    <w:rsid w:val="00E76CF0"/>
    <w:rsid w:val="00E76E31"/>
    <w:rsid w:val="00E80732"/>
    <w:rsid w:val="00E8234C"/>
    <w:rsid w:val="00E83AA9"/>
    <w:rsid w:val="00E840A2"/>
    <w:rsid w:val="00E85928"/>
    <w:rsid w:val="00E87822"/>
    <w:rsid w:val="00E90395"/>
    <w:rsid w:val="00E904D7"/>
    <w:rsid w:val="00E90B9F"/>
    <w:rsid w:val="00E90E49"/>
    <w:rsid w:val="00E917F9"/>
    <w:rsid w:val="00E91929"/>
    <w:rsid w:val="00E91DE1"/>
    <w:rsid w:val="00E9291C"/>
    <w:rsid w:val="00E93FFE"/>
    <w:rsid w:val="00E94E2C"/>
    <w:rsid w:val="00E94F8A"/>
    <w:rsid w:val="00E95D4A"/>
    <w:rsid w:val="00E9671E"/>
    <w:rsid w:val="00EA1058"/>
    <w:rsid w:val="00EA70DB"/>
    <w:rsid w:val="00EA7A41"/>
    <w:rsid w:val="00EA7C72"/>
    <w:rsid w:val="00EB077B"/>
    <w:rsid w:val="00EB100C"/>
    <w:rsid w:val="00EB3BF2"/>
    <w:rsid w:val="00EB4EA2"/>
    <w:rsid w:val="00EB4FDB"/>
    <w:rsid w:val="00EB5626"/>
    <w:rsid w:val="00EC1E07"/>
    <w:rsid w:val="00EC20B2"/>
    <w:rsid w:val="00EC2530"/>
    <w:rsid w:val="00EC27C6"/>
    <w:rsid w:val="00EC4155"/>
    <w:rsid w:val="00EC4207"/>
    <w:rsid w:val="00EC477B"/>
    <w:rsid w:val="00EC5653"/>
    <w:rsid w:val="00EC71CE"/>
    <w:rsid w:val="00ED1006"/>
    <w:rsid w:val="00ED3BAA"/>
    <w:rsid w:val="00ED60A0"/>
    <w:rsid w:val="00ED70B8"/>
    <w:rsid w:val="00EE0142"/>
    <w:rsid w:val="00EE580E"/>
    <w:rsid w:val="00EF089C"/>
    <w:rsid w:val="00EF18FE"/>
    <w:rsid w:val="00EF22E7"/>
    <w:rsid w:val="00EF309F"/>
    <w:rsid w:val="00EF318B"/>
    <w:rsid w:val="00EF36E3"/>
    <w:rsid w:val="00EF37D9"/>
    <w:rsid w:val="00EF3B8D"/>
    <w:rsid w:val="00EF3D3D"/>
    <w:rsid w:val="00EF4CCF"/>
    <w:rsid w:val="00EF557A"/>
    <w:rsid w:val="00EF5787"/>
    <w:rsid w:val="00EF60D0"/>
    <w:rsid w:val="00EF68D4"/>
    <w:rsid w:val="00F005D7"/>
    <w:rsid w:val="00F00E59"/>
    <w:rsid w:val="00F0105F"/>
    <w:rsid w:val="00F02357"/>
    <w:rsid w:val="00F03964"/>
    <w:rsid w:val="00F03A39"/>
    <w:rsid w:val="00F04F21"/>
    <w:rsid w:val="00F0528D"/>
    <w:rsid w:val="00F06C67"/>
    <w:rsid w:val="00F06DFD"/>
    <w:rsid w:val="00F071D1"/>
    <w:rsid w:val="00F07533"/>
    <w:rsid w:val="00F076B7"/>
    <w:rsid w:val="00F10629"/>
    <w:rsid w:val="00F10FEA"/>
    <w:rsid w:val="00F1157A"/>
    <w:rsid w:val="00F15500"/>
    <w:rsid w:val="00F156C9"/>
    <w:rsid w:val="00F15986"/>
    <w:rsid w:val="00F15FA5"/>
    <w:rsid w:val="00F209B7"/>
    <w:rsid w:val="00F21762"/>
    <w:rsid w:val="00F2376F"/>
    <w:rsid w:val="00F243D8"/>
    <w:rsid w:val="00F24D8B"/>
    <w:rsid w:val="00F30828"/>
    <w:rsid w:val="00F312B4"/>
    <w:rsid w:val="00F313D6"/>
    <w:rsid w:val="00F3248F"/>
    <w:rsid w:val="00F33917"/>
    <w:rsid w:val="00F35EF0"/>
    <w:rsid w:val="00F3637B"/>
    <w:rsid w:val="00F37D14"/>
    <w:rsid w:val="00F40D27"/>
    <w:rsid w:val="00F40F0C"/>
    <w:rsid w:val="00F42092"/>
    <w:rsid w:val="00F442E0"/>
    <w:rsid w:val="00F472C4"/>
    <w:rsid w:val="00F4766C"/>
    <w:rsid w:val="00F507D1"/>
    <w:rsid w:val="00F519CE"/>
    <w:rsid w:val="00F51ADA"/>
    <w:rsid w:val="00F52A15"/>
    <w:rsid w:val="00F52FBF"/>
    <w:rsid w:val="00F53665"/>
    <w:rsid w:val="00F55CE0"/>
    <w:rsid w:val="00F56EDC"/>
    <w:rsid w:val="00F57541"/>
    <w:rsid w:val="00F57C33"/>
    <w:rsid w:val="00F607C5"/>
    <w:rsid w:val="00F60DEA"/>
    <w:rsid w:val="00F61709"/>
    <w:rsid w:val="00F61FBB"/>
    <w:rsid w:val="00F6302A"/>
    <w:rsid w:val="00F64C2B"/>
    <w:rsid w:val="00F651BE"/>
    <w:rsid w:val="00F658F7"/>
    <w:rsid w:val="00F66584"/>
    <w:rsid w:val="00F66A10"/>
    <w:rsid w:val="00F67F53"/>
    <w:rsid w:val="00F703BE"/>
    <w:rsid w:val="00F71F69"/>
    <w:rsid w:val="00F72B36"/>
    <w:rsid w:val="00F72B72"/>
    <w:rsid w:val="00F743E8"/>
    <w:rsid w:val="00F74BB9"/>
    <w:rsid w:val="00F750F5"/>
    <w:rsid w:val="00F75582"/>
    <w:rsid w:val="00F76EFA"/>
    <w:rsid w:val="00F77A30"/>
    <w:rsid w:val="00F804BE"/>
    <w:rsid w:val="00F817CE"/>
    <w:rsid w:val="00F82123"/>
    <w:rsid w:val="00F823F7"/>
    <w:rsid w:val="00F8456C"/>
    <w:rsid w:val="00F859D8"/>
    <w:rsid w:val="00F868F5"/>
    <w:rsid w:val="00F9056A"/>
    <w:rsid w:val="00F90C12"/>
    <w:rsid w:val="00F90F03"/>
    <w:rsid w:val="00F90F8D"/>
    <w:rsid w:val="00F91EFA"/>
    <w:rsid w:val="00F92782"/>
    <w:rsid w:val="00F93AA9"/>
    <w:rsid w:val="00F96985"/>
    <w:rsid w:val="00F97838"/>
    <w:rsid w:val="00FA2BB3"/>
    <w:rsid w:val="00FA48E3"/>
    <w:rsid w:val="00FA5367"/>
    <w:rsid w:val="00FA5CCA"/>
    <w:rsid w:val="00FA61AB"/>
    <w:rsid w:val="00FA7407"/>
    <w:rsid w:val="00FA75BD"/>
    <w:rsid w:val="00FA7A28"/>
    <w:rsid w:val="00FB3614"/>
    <w:rsid w:val="00FB3784"/>
    <w:rsid w:val="00FB3C64"/>
    <w:rsid w:val="00FB43BC"/>
    <w:rsid w:val="00FB4B8C"/>
    <w:rsid w:val="00FB4C80"/>
    <w:rsid w:val="00FB4FAE"/>
    <w:rsid w:val="00FB5D6D"/>
    <w:rsid w:val="00FB6A6A"/>
    <w:rsid w:val="00FB70FB"/>
    <w:rsid w:val="00FB7FEF"/>
    <w:rsid w:val="00FC1033"/>
    <w:rsid w:val="00FC1134"/>
    <w:rsid w:val="00FC2246"/>
    <w:rsid w:val="00FC691F"/>
    <w:rsid w:val="00FC7429"/>
    <w:rsid w:val="00FC7B2D"/>
    <w:rsid w:val="00FD07F6"/>
    <w:rsid w:val="00FD1253"/>
    <w:rsid w:val="00FD16C1"/>
    <w:rsid w:val="00FD1CA5"/>
    <w:rsid w:val="00FD1EC8"/>
    <w:rsid w:val="00FD2BF2"/>
    <w:rsid w:val="00FD47ED"/>
    <w:rsid w:val="00FD74DB"/>
    <w:rsid w:val="00FD758B"/>
    <w:rsid w:val="00FD7660"/>
    <w:rsid w:val="00FE0655"/>
    <w:rsid w:val="00FE2365"/>
    <w:rsid w:val="00FE4A48"/>
    <w:rsid w:val="00FE4C7B"/>
    <w:rsid w:val="00FE5B28"/>
    <w:rsid w:val="00FE6371"/>
    <w:rsid w:val="00FE7336"/>
    <w:rsid w:val="00FE787C"/>
    <w:rsid w:val="00FF0C93"/>
    <w:rsid w:val="00FF45A5"/>
    <w:rsid w:val="00FF4C45"/>
    <w:rsid w:val="00FF5C91"/>
    <w:rsid w:val="00FF5D6E"/>
    <w:rsid w:val="00FF5F12"/>
    <w:rsid w:val="00FF6BA8"/>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B63"/>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013B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B63"/>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table" w:styleId="TableGrid">
    <w:name w:val="Table Grid"/>
    <w:basedOn w:val="TableNormal"/>
    <w:rsid w:val="00611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63411">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2967762A-BAD2-427A-85AB-B6633541D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http://purl.org/dc/terms/"/>
    <ds:schemaRef ds:uri="6f846979-0e6f-42ff-8b87-e1893efeda99"/>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3D8F7EA-1F14-43D9-A37A-863D2686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1726</Words>
  <Characters>9461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2019-09-27T17:18:00Z</dcterms:created>
  <dcterms:modified xsi:type="dcterms:W3CDTF">2019-10-05T01:23:00Z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